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1E7F1B">
      <w:pPr>
        <w:pStyle w:val="2"/>
        <w:keepNext w:val="0"/>
        <w:keepLines w:val="0"/>
        <w:widowControl/>
        <w:kinsoku/>
        <w:wordWrap/>
        <w:overflowPunct/>
        <w:topLinePunct w:val="0"/>
        <w:autoSpaceDE/>
        <w:autoSpaceDN/>
        <w:bidi w:val="0"/>
        <w:adjustRightInd/>
        <w:snapToGrid/>
        <w:spacing w:before="0" w:after="0" w:line="400" w:lineRule="exact"/>
        <w:jc w:val="center"/>
        <w:textAlignment w:val="auto"/>
        <w:rPr>
          <w:rFonts w:hint="eastAsia" w:ascii="宋体" w:hAnsi="宋体" w:eastAsia="宋体" w:cs="宋体"/>
          <w:sz w:val="28"/>
          <w:szCs w:val="28"/>
        </w:rPr>
      </w:pPr>
      <w:bookmarkStart w:id="0" w:name="_Toc243903345"/>
      <w:r>
        <w:rPr>
          <w:rFonts w:hint="eastAsia" w:ascii="宋体" w:hAnsi="宋体" w:eastAsia="宋体" w:cs="宋体"/>
          <w:sz w:val="28"/>
          <w:szCs w:val="28"/>
        </w:rPr>
        <w:t>招标公告</w:t>
      </w:r>
      <w:bookmarkEnd w:id="0"/>
    </w:p>
    <w:p w14:paraId="22A51D58">
      <w:pPr>
        <w:pStyle w:val="6"/>
        <w:keepNext w:val="0"/>
        <w:keepLines w:val="0"/>
        <w:widowControl/>
        <w:kinsoku/>
        <w:wordWrap/>
        <w:overflowPunct/>
        <w:topLinePunct w:val="0"/>
        <w:autoSpaceDE/>
        <w:autoSpaceDN/>
        <w:bidi w:val="0"/>
        <w:adjustRightInd/>
        <w:snapToGrid/>
        <w:spacing w:after="0" w:line="400" w:lineRule="exact"/>
        <w:textAlignment w:val="auto"/>
        <w:rPr>
          <w:rFonts w:hint="eastAsia" w:ascii="宋体" w:hAnsi="宋体" w:eastAsia="宋体" w:cs="宋体"/>
          <w:sz w:val="24"/>
          <w:szCs w:val="24"/>
        </w:rPr>
      </w:pPr>
      <w:r>
        <w:rPr>
          <w:rFonts w:hint="eastAsia" w:ascii="宋体" w:hAnsi="宋体" w:eastAsia="宋体" w:cs="宋体"/>
          <w:sz w:val="24"/>
          <w:szCs w:val="24"/>
        </w:rPr>
        <w:t>山东济钢航空航天智能电控有限公司就"济钢空天电控年度废旧物资年度处置项目"进行公开招标，采用年度协议采购模式择优确定年度废料处置合作单位并签订年度处置协议，欢迎有意向单位参与投标，有关事项如下：</w:t>
      </w:r>
    </w:p>
    <w:p w14:paraId="62CBF970">
      <w:pPr>
        <w:pStyle w:val="6"/>
        <w:keepNext w:val="0"/>
        <w:keepLines w:val="0"/>
        <w:pageBreakBefore w:val="0"/>
        <w:widowControl/>
        <w:kinsoku/>
        <w:wordWrap/>
        <w:overflowPunct/>
        <w:topLinePunct w:val="0"/>
        <w:autoSpaceDE/>
        <w:autoSpaceDN/>
        <w:bidi w:val="0"/>
        <w:adjustRightInd/>
        <w:snapToGrid/>
        <w:spacing w:after="0" w:line="400" w:lineRule="exact"/>
        <w:ind w:firstLine="482"/>
        <w:textAlignment w:val="auto"/>
        <w:rPr>
          <w:rFonts w:hint="eastAsia" w:ascii="宋体" w:hAnsi="宋体" w:eastAsia="宋体" w:cs="宋体"/>
          <w:b/>
          <w:bCs/>
          <w:sz w:val="24"/>
          <w:szCs w:val="24"/>
        </w:rPr>
      </w:pPr>
      <w:r>
        <w:rPr>
          <w:rFonts w:hint="eastAsia" w:ascii="宋体" w:hAnsi="宋体" w:eastAsia="宋体" w:cs="宋体"/>
          <w:b/>
          <w:bCs/>
          <w:sz w:val="24"/>
          <w:szCs w:val="24"/>
        </w:rPr>
        <w:t>一、招标编号</w:t>
      </w:r>
      <w:r>
        <w:rPr>
          <w:rFonts w:hint="eastAsia" w:ascii="宋体" w:hAnsi="宋体" w:eastAsia="宋体" w:cs="宋体"/>
          <w:b/>
          <w:bCs/>
          <w:sz w:val="24"/>
          <w:szCs w:val="24"/>
          <w:lang w:eastAsia="zh-CN"/>
        </w:rPr>
        <w:t>：</w:t>
      </w:r>
      <w:r>
        <w:rPr>
          <w:rFonts w:hint="eastAsia" w:ascii="宋体" w:hAnsi="宋体" w:eastAsia="宋体" w:cs="宋体"/>
          <w:b/>
          <w:bCs/>
          <w:sz w:val="24"/>
          <w:szCs w:val="24"/>
        </w:rPr>
        <w:t>110126</w:t>
      </w:r>
      <w:r>
        <w:rPr>
          <w:rFonts w:hint="eastAsia" w:ascii="宋体" w:hAnsi="宋体" w:eastAsia="宋体" w:cs="宋体"/>
          <w:b/>
          <w:bCs/>
          <w:sz w:val="24"/>
          <w:szCs w:val="24"/>
          <w:lang w:val="en-US" w:eastAsia="zh-CN"/>
        </w:rPr>
        <w:t>102</w:t>
      </w:r>
      <w:r>
        <w:rPr>
          <w:rFonts w:hint="eastAsia" w:ascii="宋体" w:hAnsi="宋体" w:cs="宋体"/>
          <w:b/>
          <w:bCs/>
          <w:sz w:val="24"/>
          <w:szCs w:val="24"/>
          <w:lang w:val="en-US" w:eastAsia="zh-CN"/>
        </w:rPr>
        <w:t>7</w:t>
      </w:r>
      <w:r>
        <w:rPr>
          <w:rFonts w:hint="eastAsia" w:ascii="宋体" w:hAnsi="宋体" w:eastAsia="宋体" w:cs="宋体"/>
          <w:b/>
          <w:bCs/>
          <w:sz w:val="24"/>
          <w:szCs w:val="24"/>
        </w:rPr>
        <w:t>001</w:t>
      </w:r>
    </w:p>
    <w:p w14:paraId="748BAEFD">
      <w:pPr>
        <w:pStyle w:val="6"/>
        <w:keepNext w:val="0"/>
        <w:keepLines w:val="0"/>
        <w:pageBreakBefore w:val="0"/>
        <w:widowControl/>
        <w:kinsoku/>
        <w:wordWrap/>
        <w:overflowPunct/>
        <w:topLinePunct w:val="0"/>
        <w:autoSpaceDE/>
        <w:autoSpaceDN/>
        <w:bidi w:val="0"/>
        <w:adjustRightInd/>
        <w:snapToGrid/>
        <w:spacing w:after="0" w:line="400" w:lineRule="exact"/>
        <w:ind w:firstLine="482"/>
        <w:textAlignment w:val="auto"/>
        <w:rPr>
          <w:rFonts w:hint="eastAsia" w:ascii="宋体" w:hAnsi="宋体" w:eastAsia="宋体" w:cs="宋体"/>
          <w:b/>
          <w:bCs/>
          <w:sz w:val="24"/>
          <w:szCs w:val="24"/>
        </w:rPr>
      </w:pPr>
      <w:r>
        <w:rPr>
          <w:rFonts w:hint="eastAsia" w:ascii="宋体" w:hAnsi="宋体" w:eastAsia="宋体" w:cs="宋体"/>
          <w:b/>
          <w:bCs/>
          <w:sz w:val="24"/>
          <w:szCs w:val="24"/>
        </w:rPr>
        <w:t>二、招标名称</w:t>
      </w:r>
      <w:r>
        <w:rPr>
          <w:rFonts w:hint="eastAsia" w:ascii="宋体" w:hAnsi="宋体" w:eastAsia="宋体" w:cs="宋体"/>
          <w:b/>
          <w:bCs/>
          <w:sz w:val="24"/>
          <w:szCs w:val="24"/>
          <w:lang w:eastAsia="zh-CN"/>
        </w:rPr>
        <w:t>：</w:t>
      </w:r>
      <w:r>
        <w:rPr>
          <w:rFonts w:hint="eastAsia" w:ascii="宋体" w:hAnsi="宋体" w:eastAsia="宋体" w:cs="宋体"/>
          <w:b/>
          <w:bCs/>
          <w:sz w:val="24"/>
          <w:szCs w:val="24"/>
        </w:rPr>
        <w:t>济钢空天电控年度废旧物资年度处置项目</w:t>
      </w:r>
    </w:p>
    <w:p w14:paraId="5332766D">
      <w:pPr>
        <w:pStyle w:val="6"/>
        <w:keepNext w:val="0"/>
        <w:keepLines w:val="0"/>
        <w:pageBreakBefore w:val="0"/>
        <w:widowControl/>
        <w:kinsoku/>
        <w:wordWrap/>
        <w:overflowPunct/>
        <w:topLinePunct w:val="0"/>
        <w:autoSpaceDE/>
        <w:autoSpaceDN/>
        <w:bidi w:val="0"/>
        <w:adjustRightInd/>
        <w:snapToGrid/>
        <w:spacing w:after="0" w:line="400" w:lineRule="exact"/>
        <w:ind w:firstLine="482"/>
        <w:textAlignment w:val="auto"/>
        <w:rPr>
          <w:rFonts w:hint="eastAsia" w:ascii="宋体" w:hAnsi="宋体" w:eastAsia="宋体" w:cs="宋体"/>
          <w:b/>
          <w:bCs/>
          <w:sz w:val="24"/>
          <w:szCs w:val="24"/>
        </w:rPr>
      </w:pPr>
      <w:r>
        <w:rPr>
          <w:rFonts w:hint="eastAsia" w:ascii="宋体" w:hAnsi="宋体" w:eastAsia="宋体" w:cs="宋体"/>
          <w:b/>
          <w:bCs/>
          <w:sz w:val="24"/>
          <w:szCs w:val="24"/>
        </w:rPr>
        <w:t>三、项目概况及内容</w:t>
      </w:r>
    </w:p>
    <w:p w14:paraId="777D07E9">
      <w:pPr>
        <w:pStyle w:val="6"/>
        <w:keepNext w:val="0"/>
        <w:keepLines w:val="0"/>
        <w:pageBreakBefore w:val="0"/>
        <w:widowControl/>
        <w:kinsoku/>
        <w:wordWrap/>
        <w:overflowPunct/>
        <w:topLinePunct w:val="0"/>
        <w:autoSpaceDE/>
        <w:autoSpaceDN/>
        <w:bidi w:val="0"/>
        <w:adjustRightInd/>
        <w:snapToGrid/>
        <w:spacing w:after="0" w:line="400" w:lineRule="exact"/>
        <w:ind w:firstLine="482"/>
        <w:textAlignment w:val="auto"/>
        <w:rPr>
          <w:rFonts w:hint="eastAsia" w:ascii="宋体" w:hAnsi="宋体" w:eastAsia="宋体" w:cs="宋体"/>
          <w:sz w:val="24"/>
          <w:szCs w:val="24"/>
        </w:rPr>
      </w:pPr>
      <w:r>
        <w:rPr>
          <w:rFonts w:hint="eastAsia" w:ascii="宋体" w:hAnsi="宋体" w:eastAsia="宋体" w:cs="宋体"/>
          <w:sz w:val="24"/>
          <w:szCs w:val="24"/>
        </w:rPr>
        <w:t>1、项目名称：济钢空天电控年度废旧物资年度处置项目。</w:t>
      </w:r>
    </w:p>
    <w:p w14:paraId="4C50E8B2">
      <w:pPr>
        <w:pStyle w:val="6"/>
        <w:keepNext w:val="0"/>
        <w:keepLines w:val="0"/>
        <w:pageBreakBefore w:val="0"/>
        <w:widowControl/>
        <w:kinsoku/>
        <w:wordWrap/>
        <w:overflowPunct/>
        <w:topLinePunct w:val="0"/>
        <w:autoSpaceDE/>
        <w:autoSpaceDN/>
        <w:bidi w:val="0"/>
        <w:adjustRightInd/>
        <w:snapToGrid/>
        <w:spacing w:after="0" w:line="400" w:lineRule="exact"/>
        <w:ind w:firstLine="482"/>
        <w:textAlignment w:val="auto"/>
        <w:rPr>
          <w:rFonts w:hint="eastAsia" w:ascii="宋体" w:hAnsi="宋体" w:eastAsia="宋体" w:cs="宋体"/>
          <w:sz w:val="24"/>
          <w:szCs w:val="24"/>
        </w:rPr>
      </w:pPr>
      <w:r>
        <w:rPr>
          <w:rFonts w:hint="eastAsia" w:ascii="宋体" w:hAnsi="宋体" w:eastAsia="宋体" w:cs="宋体"/>
          <w:sz w:val="24"/>
          <w:szCs w:val="24"/>
        </w:rPr>
        <w:t>2、项目地点：山东省济南市历城区</w:t>
      </w:r>
      <w:r>
        <w:rPr>
          <w:rFonts w:hint="eastAsia" w:ascii="宋体" w:hAnsi="宋体" w:cs="宋体"/>
          <w:sz w:val="24"/>
          <w:szCs w:val="24"/>
          <w:lang w:val="en-US" w:eastAsia="zh-CN"/>
        </w:rPr>
        <w:t>董家街道</w:t>
      </w:r>
      <w:r>
        <w:rPr>
          <w:rFonts w:hint="eastAsia" w:ascii="宋体" w:hAnsi="宋体" w:eastAsia="宋体" w:cs="宋体"/>
          <w:sz w:val="24"/>
          <w:szCs w:val="24"/>
        </w:rPr>
        <w:t>遥墙机场路11999号。</w:t>
      </w:r>
    </w:p>
    <w:p w14:paraId="0D2B7AE8">
      <w:pPr>
        <w:pStyle w:val="6"/>
        <w:keepNext w:val="0"/>
        <w:keepLines w:val="0"/>
        <w:pageBreakBefore w:val="0"/>
        <w:widowControl/>
        <w:kinsoku/>
        <w:wordWrap/>
        <w:overflowPunct/>
        <w:topLinePunct w:val="0"/>
        <w:autoSpaceDE/>
        <w:autoSpaceDN/>
        <w:bidi w:val="0"/>
        <w:adjustRightInd/>
        <w:snapToGrid/>
        <w:spacing w:after="0" w:line="400" w:lineRule="exact"/>
        <w:ind w:firstLine="482"/>
        <w:textAlignment w:val="auto"/>
        <w:rPr>
          <w:rFonts w:hint="eastAsia" w:ascii="宋体" w:hAnsi="宋体" w:eastAsia="宋体" w:cs="宋体"/>
          <w:sz w:val="24"/>
          <w:szCs w:val="24"/>
        </w:rPr>
      </w:pPr>
      <w:r>
        <w:rPr>
          <w:rFonts w:hint="eastAsia" w:ascii="宋体" w:hAnsi="宋体" w:eastAsia="宋体" w:cs="宋体"/>
          <w:sz w:val="24"/>
          <w:szCs w:val="24"/>
        </w:rPr>
        <w:t>3、处置期限：自年度处置协议生效之日起一年。</w:t>
      </w:r>
    </w:p>
    <w:p w14:paraId="6865F8F4">
      <w:pPr>
        <w:pStyle w:val="6"/>
        <w:keepNext w:val="0"/>
        <w:keepLines w:val="0"/>
        <w:pageBreakBefore w:val="0"/>
        <w:widowControl/>
        <w:kinsoku/>
        <w:wordWrap/>
        <w:overflowPunct/>
        <w:topLinePunct w:val="0"/>
        <w:autoSpaceDE/>
        <w:autoSpaceDN/>
        <w:bidi w:val="0"/>
        <w:adjustRightInd/>
        <w:snapToGrid/>
        <w:spacing w:after="0" w:line="400" w:lineRule="exact"/>
        <w:ind w:firstLine="482"/>
        <w:textAlignment w:val="auto"/>
        <w:rPr>
          <w:rFonts w:hint="eastAsia" w:ascii="宋体" w:hAnsi="宋体" w:eastAsia="宋体" w:cs="宋体"/>
          <w:sz w:val="24"/>
          <w:szCs w:val="24"/>
        </w:rPr>
      </w:pPr>
      <w:r>
        <w:rPr>
          <w:rFonts w:hint="eastAsia" w:ascii="宋体" w:hAnsi="宋体" w:eastAsia="宋体" w:cs="宋体"/>
          <w:sz w:val="24"/>
          <w:szCs w:val="24"/>
        </w:rPr>
        <w:t>4、招标内容：招标人因生产制造产生的废旧物资，包括废钢、废铜、废铜线、废纸箱四类，通过公开招标择优确定1家年度废料处置合作单位，中标单位与招标人签订年度处置协议，协议期内按照招标文件约定的计价方式回收处置上述四类废料。废料数量按实际产生量据实结算，本协议不承诺废料数量，招标人不承担最低处置量责任。</w:t>
      </w:r>
    </w:p>
    <w:p w14:paraId="5C605BE4">
      <w:pPr>
        <w:pStyle w:val="6"/>
        <w:keepNext w:val="0"/>
        <w:keepLines w:val="0"/>
        <w:pageBreakBefore w:val="0"/>
        <w:widowControl/>
        <w:kinsoku/>
        <w:wordWrap/>
        <w:overflowPunct/>
        <w:topLinePunct w:val="0"/>
        <w:autoSpaceDE/>
        <w:autoSpaceDN/>
        <w:bidi w:val="0"/>
        <w:adjustRightInd/>
        <w:snapToGrid/>
        <w:spacing w:after="0" w:line="400" w:lineRule="exact"/>
        <w:ind w:firstLine="482"/>
        <w:textAlignment w:val="auto"/>
        <w:rPr>
          <w:rFonts w:hint="eastAsia" w:ascii="宋体" w:hAnsi="宋体" w:eastAsia="宋体" w:cs="宋体"/>
          <w:sz w:val="24"/>
          <w:szCs w:val="24"/>
        </w:rPr>
      </w:pPr>
      <w:r>
        <w:rPr>
          <w:rFonts w:hint="eastAsia" w:ascii="宋体" w:hAnsi="宋体" w:eastAsia="宋体" w:cs="宋体"/>
          <w:sz w:val="24"/>
          <w:szCs w:val="24"/>
        </w:rPr>
        <w:t>4.1 废料品种及计价方式如下：</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80" w:type="dxa"/>
          <w:left w:w="120" w:type="dxa"/>
          <w:bottom w:w="80" w:type="dxa"/>
          <w:right w:w="120" w:type="dxa"/>
        </w:tblCellMar>
      </w:tblPr>
      <w:tblGrid>
        <w:gridCol w:w="784"/>
        <w:gridCol w:w="1177"/>
        <w:gridCol w:w="3610"/>
        <w:gridCol w:w="1569"/>
      </w:tblGrid>
      <w:tr w14:paraId="01433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120" w:type="dxa"/>
            <w:bottom w:w="80" w:type="dxa"/>
            <w:right w:w="120" w:type="dxa"/>
          </w:tblCellMar>
        </w:tblPrEx>
        <w:trPr>
          <w:cantSplit/>
          <w:tblHeader/>
          <w:jc w:val="center"/>
        </w:trPr>
        <w:tc>
          <w:tcPr>
            <w:tcW w:w="784" w:type="dxa"/>
            <w:vAlign w:val="center"/>
          </w:tcPr>
          <w:p w14:paraId="55A30885">
            <w:pP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b/>
                <w:bCs/>
                <w:sz w:val="24"/>
                <w:szCs w:val="24"/>
              </w:rPr>
              <w:t>序号</w:t>
            </w:r>
          </w:p>
        </w:tc>
        <w:tc>
          <w:tcPr>
            <w:tcW w:w="1177" w:type="dxa"/>
            <w:vAlign w:val="center"/>
          </w:tcPr>
          <w:p w14:paraId="56D5A314">
            <w:pP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b/>
                <w:bCs/>
                <w:sz w:val="24"/>
                <w:szCs w:val="24"/>
              </w:rPr>
              <w:t>废料名称</w:t>
            </w:r>
          </w:p>
        </w:tc>
        <w:tc>
          <w:tcPr>
            <w:tcW w:w="3610" w:type="dxa"/>
            <w:vAlign w:val="center"/>
          </w:tcPr>
          <w:p w14:paraId="75C07A21">
            <w:pP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b/>
                <w:bCs/>
                <w:sz w:val="24"/>
                <w:szCs w:val="24"/>
              </w:rPr>
              <w:t>计价方式</w:t>
            </w:r>
          </w:p>
        </w:tc>
        <w:tc>
          <w:tcPr>
            <w:tcW w:w="1569" w:type="dxa"/>
            <w:vAlign w:val="center"/>
          </w:tcPr>
          <w:p w14:paraId="633EC2E8">
            <w:pP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b/>
                <w:bCs/>
                <w:sz w:val="24"/>
                <w:szCs w:val="24"/>
              </w:rPr>
              <w:t>备注</w:t>
            </w:r>
          </w:p>
        </w:tc>
      </w:tr>
      <w:tr w14:paraId="173C8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120" w:type="dxa"/>
            <w:bottom w:w="80" w:type="dxa"/>
            <w:right w:w="120" w:type="dxa"/>
          </w:tblCellMar>
        </w:tblPrEx>
        <w:trPr>
          <w:cantSplit/>
          <w:jc w:val="center"/>
        </w:trPr>
        <w:tc>
          <w:tcPr>
            <w:tcW w:w="784" w:type="dxa"/>
            <w:vAlign w:val="center"/>
          </w:tcPr>
          <w:p w14:paraId="47B82A61">
            <w:pP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1177" w:type="dxa"/>
            <w:vAlign w:val="center"/>
          </w:tcPr>
          <w:p w14:paraId="5D370992">
            <w:pP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废钢</w:t>
            </w:r>
          </w:p>
        </w:tc>
        <w:tc>
          <w:tcPr>
            <w:tcW w:w="3610" w:type="dxa"/>
            <w:vAlign w:val="center"/>
          </w:tcPr>
          <w:p w14:paraId="1BDDA132">
            <w:pP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单次回收</w:t>
            </w:r>
            <w:r>
              <w:rPr>
                <w:rFonts w:hint="eastAsia" w:ascii="宋体" w:hAnsi="宋体" w:eastAsia="宋体" w:cs="宋体"/>
                <w:sz w:val="24"/>
                <w:szCs w:val="24"/>
                <w:lang w:val="en-US" w:eastAsia="zh-CN"/>
              </w:rPr>
              <w:t>基准</w:t>
            </w:r>
            <w:r>
              <w:rPr>
                <w:rFonts w:hint="eastAsia" w:ascii="宋体" w:hAnsi="宋体" w:eastAsia="宋体" w:cs="宋体"/>
                <w:sz w:val="24"/>
                <w:szCs w:val="24"/>
              </w:rPr>
              <w:t>价格参照市场实时价格，取金投网、长江有色金属网、循环宝三家平台当次报价最高价，结合中标单位报价浮动率核定</w:t>
            </w:r>
          </w:p>
        </w:tc>
        <w:tc>
          <w:tcPr>
            <w:tcW w:w="1569" w:type="dxa"/>
            <w:vAlign w:val="center"/>
          </w:tcPr>
          <w:p w14:paraId="465528F7">
            <w:pP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数量据实结算</w:t>
            </w:r>
          </w:p>
        </w:tc>
      </w:tr>
      <w:tr w14:paraId="6BF58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120" w:type="dxa"/>
            <w:bottom w:w="80" w:type="dxa"/>
            <w:right w:w="120" w:type="dxa"/>
          </w:tblCellMar>
        </w:tblPrEx>
        <w:trPr>
          <w:cantSplit/>
          <w:jc w:val="center"/>
        </w:trPr>
        <w:tc>
          <w:tcPr>
            <w:tcW w:w="784" w:type="dxa"/>
            <w:vAlign w:val="center"/>
          </w:tcPr>
          <w:p w14:paraId="0C335556">
            <w:pP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w:t>
            </w:r>
          </w:p>
        </w:tc>
        <w:tc>
          <w:tcPr>
            <w:tcW w:w="1177" w:type="dxa"/>
            <w:vAlign w:val="center"/>
          </w:tcPr>
          <w:p w14:paraId="5B84F7A5">
            <w:pP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废铜</w:t>
            </w:r>
          </w:p>
        </w:tc>
        <w:tc>
          <w:tcPr>
            <w:tcW w:w="3610" w:type="dxa"/>
            <w:vAlign w:val="center"/>
          </w:tcPr>
          <w:p w14:paraId="57512E66">
            <w:pP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单次回收价格参照市场实时价格，取金投网、长江有色金属网、循环宝三家平台当次报价最高价，结合中标单位报价浮动率核定</w:t>
            </w:r>
          </w:p>
        </w:tc>
        <w:tc>
          <w:tcPr>
            <w:tcW w:w="1569" w:type="dxa"/>
            <w:vAlign w:val="center"/>
          </w:tcPr>
          <w:p w14:paraId="7E82C7B9">
            <w:pP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数量据实结算</w:t>
            </w:r>
          </w:p>
        </w:tc>
      </w:tr>
      <w:tr w14:paraId="1E77A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120" w:type="dxa"/>
            <w:bottom w:w="80" w:type="dxa"/>
            <w:right w:w="120" w:type="dxa"/>
          </w:tblCellMar>
        </w:tblPrEx>
        <w:trPr>
          <w:cantSplit/>
          <w:jc w:val="center"/>
        </w:trPr>
        <w:tc>
          <w:tcPr>
            <w:tcW w:w="784" w:type="dxa"/>
            <w:vAlign w:val="center"/>
          </w:tcPr>
          <w:p w14:paraId="527FC0DA">
            <w:pP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3</w:t>
            </w:r>
          </w:p>
        </w:tc>
        <w:tc>
          <w:tcPr>
            <w:tcW w:w="1177" w:type="dxa"/>
            <w:vAlign w:val="center"/>
          </w:tcPr>
          <w:p w14:paraId="2F8C499B">
            <w:pP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废</w:t>
            </w:r>
            <w:r>
              <w:rPr>
                <w:rFonts w:hint="eastAsia" w:ascii="宋体" w:hAnsi="宋体" w:eastAsia="宋体" w:cs="宋体"/>
                <w:sz w:val="24"/>
                <w:szCs w:val="24"/>
                <w:lang w:val="en-US" w:eastAsia="zh-CN"/>
              </w:rPr>
              <w:t>铜线</w:t>
            </w:r>
          </w:p>
        </w:tc>
        <w:tc>
          <w:tcPr>
            <w:tcW w:w="3610" w:type="dxa"/>
            <w:vAlign w:val="center"/>
          </w:tcPr>
          <w:p w14:paraId="43B5717B">
            <w:pP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单次回收价格参照市场</w:t>
            </w:r>
            <w:r>
              <w:rPr>
                <w:rFonts w:hint="eastAsia" w:ascii="宋体" w:hAnsi="宋体" w:cs="宋体"/>
                <w:sz w:val="24"/>
                <w:szCs w:val="24"/>
                <w:lang w:val="en-US" w:eastAsia="zh-CN"/>
              </w:rPr>
              <w:t>废铜</w:t>
            </w:r>
            <w:r>
              <w:rPr>
                <w:rFonts w:hint="eastAsia" w:ascii="宋体" w:hAnsi="宋体" w:eastAsia="宋体" w:cs="宋体"/>
                <w:sz w:val="24"/>
                <w:szCs w:val="24"/>
              </w:rPr>
              <w:t>实时价格</w:t>
            </w:r>
            <w:r>
              <w:rPr>
                <w:rFonts w:hint="eastAsia" w:ascii="宋体" w:hAnsi="宋体" w:cs="宋体"/>
                <w:sz w:val="24"/>
                <w:szCs w:val="24"/>
                <w:lang w:eastAsia="zh-CN"/>
              </w:rPr>
              <w:t>的</w:t>
            </w:r>
            <w:r>
              <w:rPr>
                <w:rFonts w:hint="eastAsia" w:ascii="宋体" w:hAnsi="宋体" w:cs="宋体"/>
                <w:sz w:val="24"/>
                <w:szCs w:val="24"/>
                <w:lang w:val="en-US" w:eastAsia="zh-CN"/>
              </w:rPr>
              <w:t>40%</w:t>
            </w:r>
            <w:r>
              <w:rPr>
                <w:rFonts w:hint="eastAsia" w:ascii="宋体" w:hAnsi="宋体" w:eastAsia="宋体" w:cs="宋体"/>
                <w:sz w:val="24"/>
                <w:szCs w:val="24"/>
              </w:rPr>
              <w:t>，取金投网、长江有色金属网、循环宝三家平台当次</w:t>
            </w:r>
            <w:r>
              <w:rPr>
                <w:rFonts w:hint="eastAsia" w:ascii="宋体" w:hAnsi="宋体" w:cs="宋体"/>
                <w:sz w:val="24"/>
                <w:szCs w:val="24"/>
                <w:lang w:val="en-US" w:eastAsia="zh-CN"/>
              </w:rPr>
              <w:t>废铜</w:t>
            </w:r>
            <w:r>
              <w:rPr>
                <w:rFonts w:hint="eastAsia" w:ascii="宋体" w:hAnsi="宋体" w:eastAsia="宋体" w:cs="宋体"/>
                <w:sz w:val="24"/>
                <w:szCs w:val="24"/>
              </w:rPr>
              <w:t>报价最高价</w:t>
            </w:r>
            <w:r>
              <w:rPr>
                <w:rFonts w:hint="eastAsia" w:ascii="宋体" w:hAnsi="宋体" w:cs="宋体"/>
                <w:sz w:val="24"/>
                <w:szCs w:val="24"/>
                <w:lang w:eastAsia="zh-CN"/>
              </w:rPr>
              <w:t>的</w:t>
            </w:r>
            <w:r>
              <w:rPr>
                <w:rFonts w:hint="eastAsia" w:ascii="宋体" w:hAnsi="宋体" w:cs="宋体"/>
                <w:sz w:val="24"/>
                <w:szCs w:val="24"/>
                <w:lang w:val="en-US" w:eastAsia="zh-CN"/>
              </w:rPr>
              <w:t>40%</w:t>
            </w:r>
            <w:r>
              <w:rPr>
                <w:rFonts w:hint="eastAsia" w:ascii="宋体" w:hAnsi="宋体" w:eastAsia="宋体" w:cs="宋体"/>
                <w:sz w:val="24"/>
                <w:szCs w:val="24"/>
              </w:rPr>
              <w:t>，结合中标单位报价浮动率核定</w:t>
            </w:r>
          </w:p>
        </w:tc>
        <w:tc>
          <w:tcPr>
            <w:tcW w:w="1569" w:type="dxa"/>
            <w:vAlign w:val="center"/>
          </w:tcPr>
          <w:p w14:paraId="76487C53">
            <w:pP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rPr>
              <w:t>数量据实结算</w:t>
            </w:r>
          </w:p>
        </w:tc>
      </w:tr>
      <w:tr w14:paraId="1E0CB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0" w:type="dxa"/>
            <w:left w:w="120" w:type="dxa"/>
            <w:bottom w:w="80" w:type="dxa"/>
            <w:right w:w="120" w:type="dxa"/>
          </w:tblCellMar>
        </w:tblPrEx>
        <w:trPr>
          <w:cantSplit/>
          <w:jc w:val="center"/>
        </w:trPr>
        <w:tc>
          <w:tcPr>
            <w:tcW w:w="784" w:type="dxa"/>
            <w:vAlign w:val="center"/>
          </w:tcPr>
          <w:p w14:paraId="03825C57">
            <w:pP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4</w:t>
            </w:r>
          </w:p>
        </w:tc>
        <w:tc>
          <w:tcPr>
            <w:tcW w:w="1177" w:type="dxa"/>
            <w:vAlign w:val="center"/>
          </w:tcPr>
          <w:p w14:paraId="4620C669">
            <w:pP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废纸箱</w:t>
            </w:r>
          </w:p>
        </w:tc>
        <w:tc>
          <w:tcPr>
            <w:tcW w:w="3610" w:type="dxa"/>
            <w:vAlign w:val="center"/>
          </w:tcPr>
          <w:p w14:paraId="1EA4E32D">
            <w:pP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执行中标单位报价的年度固定吨价（元/吨），协议期内不作调整</w:t>
            </w:r>
          </w:p>
        </w:tc>
        <w:tc>
          <w:tcPr>
            <w:tcW w:w="1569" w:type="dxa"/>
            <w:vAlign w:val="center"/>
          </w:tcPr>
          <w:p w14:paraId="4937F643">
            <w:pP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数量据实结算</w:t>
            </w:r>
          </w:p>
        </w:tc>
      </w:tr>
    </w:tbl>
    <w:p w14:paraId="0874D72C">
      <w:pPr>
        <w:pStyle w:val="6"/>
        <w:kinsoku/>
        <w:wordWrap/>
        <w:overflowPunct/>
        <w:topLinePunct w:val="0"/>
        <w:autoSpaceDE/>
        <w:autoSpaceDN/>
        <w:bidi w:val="0"/>
        <w:adjustRightInd/>
        <w:snapToGrid/>
        <w:spacing w:after="0" w:line="400" w:lineRule="exact"/>
        <w:textAlignment w:val="auto"/>
        <w:rPr>
          <w:rFonts w:hint="eastAsia" w:ascii="宋体" w:hAnsi="宋体" w:eastAsia="宋体" w:cs="宋体"/>
          <w:sz w:val="24"/>
          <w:szCs w:val="24"/>
        </w:rPr>
      </w:pPr>
      <w:r>
        <w:rPr>
          <w:rFonts w:hint="eastAsia" w:ascii="宋体" w:hAnsi="宋体" w:eastAsia="宋体" w:cs="宋体"/>
          <w:sz w:val="24"/>
          <w:szCs w:val="24"/>
        </w:rPr>
        <w:t>4.2 计价细则：</w:t>
      </w:r>
    </w:p>
    <w:p w14:paraId="2DF629C7">
      <w:pPr>
        <w:pStyle w:val="6"/>
        <w:kinsoku/>
        <w:wordWrap/>
        <w:overflowPunct/>
        <w:topLinePunct w:val="0"/>
        <w:autoSpaceDE/>
        <w:autoSpaceDN/>
        <w:bidi w:val="0"/>
        <w:adjustRightInd/>
        <w:snapToGrid/>
        <w:spacing w:after="0" w:line="400" w:lineRule="exact"/>
        <w:textAlignment w:val="auto"/>
        <w:rPr>
          <w:rFonts w:hint="eastAsia" w:ascii="宋体" w:hAnsi="宋体" w:eastAsia="宋体" w:cs="宋体"/>
          <w:sz w:val="24"/>
          <w:szCs w:val="24"/>
        </w:rPr>
      </w:pPr>
      <w:r>
        <w:rPr>
          <w:rFonts w:hint="eastAsia" w:ascii="宋体" w:hAnsi="宋体" w:eastAsia="宋体" w:cs="宋体"/>
          <w:sz w:val="24"/>
          <w:szCs w:val="24"/>
        </w:rPr>
        <w:t>（1）废钢、废铜单次回收价格＝当次金投网、长江有色金属网、循环宝三家平台报价中的最高价×（1＋中标浮动率）</w:t>
      </w:r>
      <w:r>
        <w:rPr>
          <w:rFonts w:hint="eastAsia" w:ascii="宋体" w:hAnsi="宋体" w:cs="宋体"/>
          <w:sz w:val="24"/>
          <w:szCs w:val="24"/>
          <w:lang w:val="en-US" w:eastAsia="zh-CN"/>
        </w:rPr>
        <w:t>×实际重量</w:t>
      </w:r>
      <w:r>
        <w:rPr>
          <w:rFonts w:hint="eastAsia" w:ascii="宋体" w:hAnsi="宋体" w:eastAsia="宋体" w:cs="宋体"/>
          <w:sz w:val="24"/>
          <w:szCs w:val="24"/>
        </w:rPr>
        <w:t>。浮动率以投标人报价为准，上浮为正、下浮为负，投标人须对废钢、废铜分别报出浮动率。</w:t>
      </w:r>
    </w:p>
    <w:p w14:paraId="06611E49">
      <w:pPr>
        <w:pStyle w:val="6"/>
        <w:kinsoku/>
        <w:wordWrap/>
        <w:overflowPunct/>
        <w:topLinePunct w:val="0"/>
        <w:autoSpaceDE/>
        <w:autoSpaceDN/>
        <w:bidi w:val="0"/>
        <w:adjustRightInd/>
        <w:snapToGrid/>
        <w:spacing w:after="0" w:line="400" w:lineRule="exact"/>
        <w:textAlignment w:val="auto"/>
        <w:rPr>
          <w:rFonts w:hint="default" w:ascii="宋体" w:hAnsi="宋体" w:eastAsia="宋体" w:cs="宋体"/>
          <w:sz w:val="24"/>
          <w:szCs w:val="24"/>
          <w:lang w:val="en-US" w:eastAsia="zh-CN"/>
        </w:rPr>
      </w:pPr>
      <w:r>
        <w:rPr>
          <w:rFonts w:hint="eastAsia" w:ascii="宋体" w:hAnsi="宋体" w:cs="宋体"/>
          <w:sz w:val="24"/>
          <w:szCs w:val="24"/>
          <w:lang w:eastAsia="zh-CN"/>
        </w:rPr>
        <w:t>（</w:t>
      </w:r>
      <w:r>
        <w:rPr>
          <w:rFonts w:hint="eastAsia" w:ascii="宋体" w:hAnsi="宋体" w:cs="宋体"/>
          <w:sz w:val="24"/>
          <w:szCs w:val="24"/>
          <w:lang w:val="en-US" w:eastAsia="zh-CN"/>
        </w:rPr>
        <w:t>2</w:t>
      </w:r>
      <w:r>
        <w:rPr>
          <w:rFonts w:hint="eastAsia" w:ascii="宋体" w:hAnsi="宋体" w:cs="宋体"/>
          <w:sz w:val="24"/>
          <w:szCs w:val="24"/>
          <w:lang w:eastAsia="zh-CN"/>
        </w:rPr>
        <w:t>）</w:t>
      </w:r>
      <w:r>
        <w:rPr>
          <w:rFonts w:hint="eastAsia" w:ascii="宋体" w:hAnsi="宋体" w:eastAsia="宋体" w:cs="宋体"/>
          <w:sz w:val="24"/>
          <w:szCs w:val="24"/>
        </w:rPr>
        <w:t>废铜线</w:t>
      </w:r>
      <w:r>
        <w:rPr>
          <w:rFonts w:hint="eastAsia" w:ascii="宋体" w:hAnsi="宋体" w:cs="宋体"/>
          <w:sz w:val="24"/>
          <w:szCs w:val="24"/>
          <w:lang w:val="en-US" w:eastAsia="zh-CN"/>
        </w:rPr>
        <w:t>单次价格=</w:t>
      </w:r>
      <w:r>
        <w:rPr>
          <w:rFonts w:hint="eastAsia" w:ascii="宋体" w:hAnsi="宋体" w:eastAsia="宋体" w:cs="宋体"/>
          <w:sz w:val="24"/>
          <w:szCs w:val="24"/>
        </w:rPr>
        <w:t>当次金投网、长江有色金属网、循环宝三家平台</w:t>
      </w:r>
      <w:r>
        <w:rPr>
          <w:rFonts w:hint="eastAsia" w:ascii="宋体" w:hAnsi="宋体" w:cs="宋体"/>
          <w:sz w:val="24"/>
          <w:szCs w:val="24"/>
          <w:lang w:val="en-US" w:eastAsia="zh-CN"/>
        </w:rPr>
        <w:t>废铜</w:t>
      </w:r>
      <w:r>
        <w:rPr>
          <w:rFonts w:hint="eastAsia" w:ascii="宋体" w:hAnsi="宋体" w:eastAsia="宋体" w:cs="宋体"/>
          <w:sz w:val="24"/>
          <w:szCs w:val="24"/>
        </w:rPr>
        <w:t>报价中的最高价</w:t>
      </w:r>
      <w:r>
        <w:rPr>
          <w:rFonts w:hint="eastAsia" w:ascii="宋体" w:hAnsi="宋体" w:cs="宋体"/>
          <w:sz w:val="24"/>
          <w:szCs w:val="24"/>
          <w:lang w:val="en-US" w:eastAsia="zh-CN"/>
        </w:rPr>
        <w:t>×40%</w:t>
      </w:r>
      <w:r>
        <w:rPr>
          <w:rFonts w:hint="eastAsia" w:ascii="宋体" w:hAnsi="宋体" w:eastAsia="宋体" w:cs="宋体"/>
          <w:sz w:val="24"/>
          <w:szCs w:val="24"/>
        </w:rPr>
        <w:t>×（1＋中标浮动率）</w:t>
      </w:r>
      <w:r>
        <w:rPr>
          <w:rFonts w:hint="eastAsia" w:ascii="宋体" w:hAnsi="宋体" w:cs="宋体"/>
          <w:sz w:val="24"/>
          <w:szCs w:val="24"/>
          <w:lang w:val="en-US" w:eastAsia="zh-CN"/>
        </w:rPr>
        <w:t>×实际重量。</w:t>
      </w:r>
    </w:p>
    <w:p w14:paraId="0B6AF60B">
      <w:pPr>
        <w:pStyle w:val="6"/>
        <w:kinsoku/>
        <w:wordWrap/>
        <w:overflowPunct/>
        <w:topLinePunct w:val="0"/>
        <w:autoSpaceDE/>
        <w:autoSpaceDN/>
        <w:bidi w:val="0"/>
        <w:adjustRightInd/>
        <w:snapToGrid/>
        <w:spacing w:after="0" w:line="400" w:lineRule="exact"/>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cs="宋体"/>
          <w:sz w:val="24"/>
          <w:szCs w:val="24"/>
          <w:lang w:val="en-US" w:eastAsia="zh-CN"/>
        </w:rPr>
        <w:t>3</w:t>
      </w:r>
      <w:r>
        <w:rPr>
          <w:rFonts w:hint="eastAsia" w:ascii="宋体" w:hAnsi="宋体" w:eastAsia="宋体" w:cs="宋体"/>
          <w:sz w:val="24"/>
          <w:szCs w:val="24"/>
        </w:rPr>
        <w:t>）每次回收时，由招标人与中标单位共同对三家平台当次报价进行确认并留存报价记录（截图或页面资料）作为计价依据，三方报价取最高价；平台报价时间以双方确认的当次报价时点为准。</w:t>
      </w:r>
    </w:p>
    <w:p w14:paraId="0A8B1896">
      <w:pPr>
        <w:pStyle w:val="6"/>
        <w:kinsoku/>
        <w:wordWrap/>
        <w:overflowPunct/>
        <w:topLinePunct w:val="0"/>
        <w:autoSpaceDE/>
        <w:autoSpaceDN/>
        <w:bidi w:val="0"/>
        <w:adjustRightInd/>
        <w:snapToGrid/>
        <w:spacing w:after="0" w:line="400" w:lineRule="exact"/>
        <w:textAlignment w:val="auto"/>
        <w:rPr>
          <w:rFonts w:hint="eastAsia" w:ascii="宋体" w:hAnsi="宋体" w:eastAsia="宋体" w:cs="宋体"/>
          <w:sz w:val="24"/>
          <w:szCs w:val="24"/>
        </w:rPr>
      </w:pPr>
      <w:r>
        <w:rPr>
          <w:rFonts w:hint="eastAsia" w:ascii="宋体" w:hAnsi="宋体" w:eastAsia="宋体" w:cs="宋体"/>
          <w:sz w:val="24"/>
          <w:szCs w:val="24"/>
        </w:rPr>
        <w:t>（4）废纸箱执行中标单位报出的年度固定吨价（元/吨），协议期内不作调整。</w:t>
      </w:r>
    </w:p>
    <w:p w14:paraId="59DFAF0B">
      <w:pPr>
        <w:pStyle w:val="6"/>
        <w:kinsoku/>
        <w:wordWrap/>
        <w:overflowPunct/>
        <w:topLinePunct w:val="0"/>
        <w:autoSpaceDE/>
        <w:autoSpaceDN/>
        <w:bidi w:val="0"/>
        <w:adjustRightInd/>
        <w:snapToGrid/>
        <w:spacing w:after="0" w:line="400" w:lineRule="exact"/>
        <w:textAlignment w:val="auto"/>
        <w:rPr>
          <w:rFonts w:hint="eastAsia" w:ascii="宋体" w:hAnsi="宋体" w:eastAsia="宋体" w:cs="宋体"/>
          <w:sz w:val="24"/>
          <w:szCs w:val="24"/>
        </w:rPr>
      </w:pPr>
      <w:r>
        <w:rPr>
          <w:rFonts w:hint="eastAsia" w:ascii="宋体" w:hAnsi="宋体" w:eastAsia="宋体" w:cs="宋体"/>
          <w:sz w:val="24"/>
          <w:szCs w:val="24"/>
        </w:rPr>
        <w:t>（5）当按上述规则核定的回收价格低于招标人当次内部预期底价时，招标人有权暂缓当次处置，由此产生的后果由招标人承担，中标单位不得以此主张违约。</w:t>
      </w:r>
    </w:p>
    <w:p w14:paraId="0D5569F4">
      <w:pPr>
        <w:pStyle w:val="6"/>
        <w:kinsoku/>
        <w:wordWrap/>
        <w:overflowPunct/>
        <w:topLinePunct w:val="0"/>
        <w:autoSpaceDE/>
        <w:autoSpaceDN/>
        <w:bidi w:val="0"/>
        <w:adjustRightInd/>
        <w:snapToGrid/>
        <w:spacing w:after="0" w:line="400" w:lineRule="exact"/>
        <w:textAlignment w:val="auto"/>
        <w:rPr>
          <w:rFonts w:hint="eastAsia" w:ascii="宋体" w:hAnsi="宋体" w:eastAsia="宋体" w:cs="宋体"/>
          <w:sz w:val="24"/>
          <w:szCs w:val="24"/>
        </w:rPr>
      </w:pPr>
      <w:r>
        <w:rPr>
          <w:rFonts w:hint="eastAsia" w:ascii="宋体" w:hAnsi="宋体" w:eastAsia="宋体" w:cs="宋体"/>
          <w:sz w:val="24"/>
          <w:szCs w:val="24"/>
        </w:rPr>
        <w:t>5、结算方式：废料处置实行一批次一结算。每次处置由招标人</w:t>
      </w:r>
      <w:r>
        <w:rPr>
          <w:rFonts w:hint="eastAsia" w:ascii="宋体" w:hAnsi="宋体" w:cs="宋体"/>
          <w:sz w:val="24"/>
          <w:szCs w:val="24"/>
          <w:lang w:val="en-US" w:eastAsia="zh-CN"/>
        </w:rPr>
        <w:t>组织</w:t>
      </w:r>
      <w:r>
        <w:rPr>
          <w:rFonts w:hint="eastAsia" w:ascii="宋体" w:hAnsi="宋体" w:eastAsia="宋体" w:cs="宋体"/>
          <w:sz w:val="24"/>
          <w:szCs w:val="24"/>
        </w:rPr>
        <w:t>地磅（经检定合格的计量设备）过磅、双方共同确认重量，按本招标文件约定的计价方式核定当次金额，中标单位于废料出场前将当次货款电汇支付至招标人账户，招标人按国家规定向中标单位开具相应发票。中标单位未付清当次货款的，废料不得出场。</w:t>
      </w:r>
    </w:p>
    <w:p w14:paraId="62092713">
      <w:pPr>
        <w:pStyle w:val="6"/>
        <w:kinsoku/>
        <w:wordWrap/>
        <w:overflowPunct/>
        <w:topLinePunct w:val="0"/>
        <w:autoSpaceDE/>
        <w:autoSpaceDN/>
        <w:bidi w:val="0"/>
        <w:adjustRightInd/>
        <w:snapToGrid/>
        <w:spacing w:after="0" w:line="400" w:lineRule="exact"/>
        <w:textAlignment w:val="auto"/>
        <w:rPr>
          <w:rFonts w:hint="eastAsia" w:ascii="宋体" w:hAnsi="宋体" w:eastAsia="宋体" w:cs="宋体"/>
          <w:sz w:val="24"/>
          <w:szCs w:val="24"/>
        </w:rPr>
      </w:pPr>
      <w:r>
        <w:rPr>
          <w:rFonts w:hint="eastAsia" w:ascii="宋体" w:hAnsi="宋体" w:eastAsia="宋体" w:cs="宋体"/>
          <w:sz w:val="24"/>
          <w:szCs w:val="24"/>
        </w:rPr>
        <w:t>6、本项目废钢、废铜</w:t>
      </w:r>
      <w:r>
        <w:rPr>
          <w:rFonts w:hint="eastAsia" w:ascii="宋体" w:hAnsi="宋体" w:cs="宋体"/>
          <w:sz w:val="24"/>
          <w:szCs w:val="24"/>
          <w:lang w:eastAsia="zh-CN"/>
        </w:rPr>
        <w:t>、</w:t>
      </w:r>
      <w:r>
        <w:rPr>
          <w:rFonts w:hint="eastAsia" w:ascii="宋体" w:hAnsi="宋体" w:cs="宋体"/>
          <w:sz w:val="24"/>
          <w:szCs w:val="24"/>
          <w:lang w:val="en-US" w:eastAsia="zh-CN"/>
        </w:rPr>
        <w:t>废铜线</w:t>
      </w:r>
      <w:r>
        <w:rPr>
          <w:rFonts w:hint="eastAsia" w:ascii="宋体" w:hAnsi="宋体" w:eastAsia="宋体" w:cs="宋体"/>
          <w:sz w:val="24"/>
          <w:szCs w:val="24"/>
        </w:rPr>
        <w:t>报价浮动率不设上限；废纸箱年度固定吨价投标人所报价格即中标后执行价格。</w:t>
      </w:r>
    </w:p>
    <w:p w14:paraId="1A27B539">
      <w:pPr>
        <w:pStyle w:val="3"/>
        <w:kinsoku/>
        <w:wordWrap/>
        <w:overflowPunct/>
        <w:topLinePunct w:val="0"/>
        <w:autoSpaceDE/>
        <w:autoSpaceDN/>
        <w:bidi w:val="0"/>
        <w:adjustRightInd/>
        <w:snapToGrid/>
        <w:spacing w:before="0" w:after="0" w:line="400" w:lineRule="exact"/>
        <w:textAlignment w:val="auto"/>
        <w:rPr>
          <w:rFonts w:hint="eastAsia" w:ascii="宋体" w:hAnsi="宋体" w:eastAsia="宋体" w:cs="宋体"/>
          <w:sz w:val="24"/>
          <w:szCs w:val="24"/>
        </w:rPr>
      </w:pPr>
      <w:r>
        <w:rPr>
          <w:rFonts w:hint="eastAsia" w:ascii="宋体" w:hAnsi="宋体" w:eastAsia="宋体" w:cs="宋体"/>
          <w:sz w:val="24"/>
          <w:szCs w:val="24"/>
        </w:rPr>
        <w:t>四、投标人资格要求</w:t>
      </w:r>
    </w:p>
    <w:p w14:paraId="4AE32769">
      <w:pPr>
        <w:pStyle w:val="6"/>
        <w:kinsoku/>
        <w:wordWrap/>
        <w:overflowPunct/>
        <w:topLinePunct w:val="0"/>
        <w:autoSpaceDE/>
        <w:autoSpaceDN/>
        <w:bidi w:val="0"/>
        <w:adjustRightInd/>
        <w:snapToGrid/>
        <w:spacing w:after="0" w:line="400" w:lineRule="exact"/>
        <w:textAlignment w:val="auto"/>
        <w:rPr>
          <w:rFonts w:hint="eastAsia" w:ascii="宋体" w:hAnsi="宋体" w:eastAsia="宋体" w:cs="宋体"/>
          <w:sz w:val="24"/>
          <w:szCs w:val="24"/>
        </w:rPr>
      </w:pPr>
      <w:r>
        <w:rPr>
          <w:rFonts w:hint="eastAsia" w:ascii="宋体" w:hAnsi="宋体" w:eastAsia="宋体" w:cs="宋体"/>
          <w:sz w:val="24"/>
          <w:szCs w:val="24"/>
        </w:rPr>
        <w:t>1、中华人民共和国境内注册，具有独立法人资格，能够独立承担民事责任，营业执照有效，且经营范围包含再生资源回收、废旧物资（废旧金属、废纸等）回收利用或同类内容；</w:t>
      </w:r>
    </w:p>
    <w:p w14:paraId="2B2782AF">
      <w:pPr>
        <w:pStyle w:val="6"/>
        <w:kinsoku/>
        <w:wordWrap/>
        <w:overflowPunct/>
        <w:topLinePunct w:val="0"/>
        <w:autoSpaceDE/>
        <w:autoSpaceDN/>
        <w:bidi w:val="0"/>
        <w:adjustRightInd/>
        <w:snapToGrid/>
        <w:spacing w:after="0" w:line="400" w:lineRule="exact"/>
        <w:textAlignment w:val="auto"/>
        <w:rPr>
          <w:rFonts w:hint="eastAsia" w:ascii="宋体" w:hAnsi="宋体" w:eastAsia="宋体" w:cs="宋体"/>
          <w:sz w:val="24"/>
          <w:szCs w:val="24"/>
        </w:rPr>
      </w:pPr>
      <w:r>
        <w:rPr>
          <w:rFonts w:hint="eastAsia" w:ascii="宋体" w:hAnsi="宋体" w:eastAsia="宋体" w:cs="宋体"/>
          <w:sz w:val="24"/>
          <w:szCs w:val="24"/>
        </w:rPr>
        <w:t>2、具备与本项目相适应的回收、装卸、短途运输能力（自有或长期合作的运输车辆、吊装/装卸人员等）；回收处置活动依法需要相关许可、备案的，投标人应具备相应资质并在投标文件中提供证明材料；</w:t>
      </w:r>
    </w:p>
    <w:p w14:paraId="10361600">
      <w:pPr>
        <w:pStyle w:val="6"/>
        <w:kinsoku/>
        <w:wordWrap/>
        <w:overflowPunct/>
        <w:topLinePunct w:val="0"/>
        <w:autoSpaceDE/>
        <w:autoSpaceDN/>
        <w:bidi w:val="0"/>
        <w:adjustRightInd/>
        <w:snapToGrid/>
        <w:spacing w:after="0" w:line="400" w:lineRule="exact"/>
        <w:textAlignment w:val="auto"/>
        <w:rPr>
          <w:rFonts w:hint="eastAsia" w:ascii="宋体" w:hAnsi="宋体" w:eastAsia="宋体" w:cs="宋体"/>
          <w:sz w:val="24"/>
          <w:szCs w:val="24"/>
        </w:rPr>
      </w:pPr>
      <w:r>
        <w:rPr>
          <w:rFonts w:hint="eastAsia" w:ascii="宋体" w:hAnsi="宋体" w:eastAsia="宋体" w:cs="宋体"/>
          <w:sz w:val="24"/>
          <w:szCs w:val="24"/>
        </w:rPr>
        <w:t>3、业绩要求：投标人自2023年10月1日</w:t>
      </w:r>
      <w:r>
        <w:rPr>
          <w:rFonts w:hint="eastAsia" w:ascii="宋体" w:hAnsi="宋体" w:cs="宋体"/>
          <w:sz w:val="24"/>
          <w:szCs w:val="24"/>
          <w:lang w:val="en-US" w:eastAsia="zh-CN"/>
        </w:rPr>
        <w:t>至2026年10月1日</w:t>
      </w:r>
      <w:r>
        <w:rPr>
          <w:rFonts w:hint="eastAsia" w:ascii="宋体" w:hAnsi="宋体" w:eastAsia="宋体" w:cs="宋体"/>
          <w:sz w:val="24"/>
          <w:szCs w:val="24"/>
        </w:rPr>
        <w:t>（3年），承担过同类废旧物资回收处置项目业绩（提供合同关键页复印件）；</w:t>
      </w:r>
    </w:p>
    <w:p w14:paraId="03BEEE89">
      <w:pPr>
        <w:pStyle w:val="6"/>
        <w:kinsoku/>
        <w:wordWrap/>
        <w:overflowPunct/>
        <w:topLinePunct w:val="0"/>
        <w:autoSpaceDE/>
        <w:autoSpaceDN/>
        <w:bidi w:val="0"/>
        <w:adjustRightInd/>
        <w:snapToGrid/>
        <w:spacing w:after="0" w:line="400" w:lineRule="exact"/>
        <w:textAlignment w:val="auto"/>
        <w:rPr>
          <w:rFonts w:hint="eastAsia" w:ascii="宋体" w:hAnsi="宋体" w:eastAsia="宋体" w:cs="宋体"/>
          <w:sz w:val="24"/>
          <w:szCs w:val="24"/>
        </w:rPr>
      </w:pPr>
      <w:r>
        <w:rPr>
          <w:rFonts w:hint="eastAsia" w:ascii="宋体" w:hAnsi="宋体" w:eastAsia="宋体" w:cs="宋体"/>
          <w:sz w:val="24"/>
          <w:szCs w:val="24"/>
        </w:rPr>
        <w:t>4、具有良好的财务状况，近一年没有处于被责令停业、财产被接管、冻结、破产状态，提供最近一年财务报表；</w:t>
      </w:r>
    </w:p>
    <w:p w14:paraId="391A821F">
      <w:pPr>
        <w:pStyle w:val="6"/>
        <w:kinsoku/>
        <w:wordWrap/>
        <w:overflowPunct/>
        <w:topLinePunct w:val="0"/>
        <w:autoSpaceDE/>
        <w:autoSpaceDN/>
        <w:bidi w:val="0"/>
        <w:adjustRightInd/>
        <w:snapToGrid/>
        <w:spacing w:after="0" w:line="400" w:lineRule="exact"/>
        <w:textAlignment w:val="auto"/>
        <w:rPr>
          <w:rFonts w:hint="eastAsia" w:ascii="宋体" w:hAnsi="宋体" w:eastAsia="宋体" w:cs="宋体"/>
          <w:sz w:val="24"/>
          <w:szCs w:val="24"/>
        </w:rPr>
      </w:pPr>
      <w:r>
        <w:rPr>
          <w:rFonts w:hint="eastAsia" w:ascii="宋体" w:hAnsi="宋体" w:eastAsia="宋体" w:cs="宋体"/>
          <w:sz w:val="24"/>
          <w:szCs w:val="24"/>
        </w:rPr>
        <w:t>5、信誉要求：具有良好的商业信誉，近三年以来在经营活动中无不诚信记录和无重大违法记录（提供书面声明）；"国家企业信用信息公示系统"（www.gsxt.gov.cn）中未列入"经营异常名录"、"严重违法失信名单（黑名单）"；</w:t>
      </w:r>
    </w:p>
    <w:p w14:paraId="50B3DE23">
      <w:pPr>
        <w:pStyle w:val="6"/>
        <w:kinsoku/>
        <w:wordWrap/>
        <w:overflowPunct/>
        <w:topLinePunct w:val="0"/>
        <w:autoSpaceDE/>
        <w:autoSpaceDN/>
        <w:bidi w:val="0"/>
        <w:adjustRightInd/>
        <w:snapToGrid/>
        <w:spacing w:after="0" w:line="400" w:lineRule="exact"/>
        <w:textAlignment w:val="auto"/>
        <w:rPr>
          <w:rFonts w:hint="eastAsia" w:ascii="宋体" w:hAnsi="宋体" w:eastAsia="宋体" w:cs="宋体"/>
          <w:sz w:val="24"/>
          <w:szCs w:val="24"/>
        </w:rPr>
      </w:pPr>
      <w:r>
        <w:rPr>
          <w:rFonts w:hint="eastAsia" w:ascii="宋体" w:hAnsi="宋体" w:eastAsia="宋体" w:cs="宋体"/>
          <w:sz w:val="24"/>
          <w:szCs w:val="24"/>
        </w:rPr>
        <w:t>6、有依法缴纳税收和社保的良好纪录；</w:t>
      </w:r>
    </w:p>
    <w:p w14:paraId="71A81745">
      <w:pPr>
        <w:pStyle w:val="6"/>
        <w:kinsoku/>
        <w:wordWrap/>
        <w:overflowPunct/>
        <w:topLinePunct w:val="0"/>
        <w:autoSpaceDE/>
        <w:autoSpaceDN/>
        <w:bidi w:val="0"/>
        <w:adjustRightInd/>
        <w:snapToGrid/>
        <w:spacing w:after="0" w:line="400" w:lineRule="exact"/>
        <w:textAlignment w:val="auto"/>
        <w:rPr>
          <w:rFonts w:hint="eastAsia" w:ascii="宋体" w:hAnsi="宋体" w:eastAsia="宋体" w:cs="宋体"/>
          <w:sz w:val="24"/>
          <w:szCs w:val="24"/>
        </w:rPr>
      </w:pPr>
      <w:r>
        <w:rPr>
          <w:rFonts w:hint="eastAsia" w:ascii="宋体" w:hAnsi="宋体" w:eastAsia="宋体" w:cs="宋体"/>
          <w:sz w:val="24"/>
          <w:szCs w:val="24"/>
        </w:rPr>
        <w:t>7、投标人须承诺严格遵守《中华人民共和国固体废物污染环境防治法》等法律法规，对回收废料依法合规运输、利用、处置，不得非法倾倒、遗撒，不得转售给无合法资质的单位或个人，并须在投标文件中提供书面承诺；</w:t>
      </w:r>
    </w:p>
    <w:p w14:paraId="7D56700D">
      <w:pPr>
        <w:pStyle w:val="6"/>
        <w:kinsoku/>
        <w:wordWrap/>
        <w:overflowPunct/>
        <w:topLinePunct w:val="0"/>
        <w:autoSpaceDE/>
        <w:autoSpaceDN/>
        <w:bidi w:val="0"/>
        <w:adjustRightInd/>
        <w:snapToGrid/>
        <w:spacing w:after="0" w:line="400" w:lineRule="exact"/>
        <w:textAlignment w:val="auto"/>
        <w:rPr>
          <w:rFonts w:hint="eastAsia" w:ascii="宋体" w:hAnsi="宋体" w:eastAsia="宋体" w:cs="宋体"/>
          <w:sz w:val="24"/>
          <w:szCs w:val="24"/>
        </w:rPr>
      </w:pPr>
      <w:r>
        <w:rPr>
          <w:rFonts w:hint="eastAsia" w:ascii="宋体" w:hAnsi="宋体" w:eastAsia="宋体" w:cs="宋体"/>
          <w:sz w:val="24"/>
          <w:szCs w:val="24"/>
        </w:rPr>
        <w:t>8、本项目不接受联合体投标；</w:t>
      </w:r>
    </w:p>
    <w:p w14:paraId="0E3B4651">
      <w:pPr>
        <w:pStyle w:val="6"/>
        <w:kinsoku/>
        <w:wordWrap/>
        <w:overflowPunct/>
        <w:topLinePunct w:val="0"/>
        <w:autoSpaceDE/>
        <w:autoSpaceDN/>
        <w:bidi w:val="0"/>
        <w:adjustRightInd/>
        <w:snapToGrid/>
        <w:spacing w:after="0" w:line="400" w:lineRule="exact"/>
        <w:textAlignment w:val="auto"/>
        <w:rPr>
          <w:rFonts w:hint="eastAsia" w:ascii="宋体" w:hAnsi="宋体" w:eastAsia="宋体" w:cs="宋体"/>
          <w:sz w:val="24"/>
          <w:szCs w:val="24"/>
        </w:rPr>
      </w:pPr>
      <w:r>
        <w:rPr>
          <w:rFonts w:hint="eastAsia" w:ascii="宋体" w:hAnsi="宋体" w:eastAsia="宋体" w:cs="宋体"/>
          <w:sz w:val="24"/>
          <w:szCs w:val="24"/>
        </w:rPr>
        <w:t>9、如有单位资料造假，一经发现，立即在网上公示，并永久取消投标资格；</w:t>
      </w:r>
    </w:p>
    <w:p w14:paraId="7D47C59D">
      <w:pPr>
        <w:pStyle w:val="6"/>
        <w:kinsoku/>
        <w:wordWrap/>
        <w:overflowPunct/>
        <w:topLinePunct w:val="0"/>
        <w:autoSpaceDE/>
        <w:autoSpaceDN/>
        <w:bidi w:val="0"/>
        <w:adjustRightInd/>
        <w:snapToGrid/>
        <w:spacing w:after="0" w:line="400" w:lineRule="exact"/>
        <w:textAlignment w:val="auto"/>
        <w:rPr>
          <w:rFonts w:hint="eastAsia" w:ascii="宋体" w:hAnsi="宋体" w:eastAsia="宋体" w:cs="宋体"/>
          <w:sz w:val="24"/>
          <w:szCs w:val="24"/>
        </w:rPr>
      </w:pPr>
      <w:r>
        <w:rPr>
          <w:rFonts w:hint="eastAsia" w:ascii="宋体" w:hAnsi="宋体" w:eastAsia="宋体" w:cs="宋体"/>
          <w:sz w:val="24"/>
          <w:szCs w:val="24"/>
        </w:rPr>
        <w:t>10、报名及投标人员在济钢集团的一切活动必须遵守济钢集团的安全规定。</w:t>
      </w:r>
    </w:p>
    <w:p w14:paraId="6BDD3957">
      <w:pPr>
        <w:pStyle w:val="3"/>
        <w:kinsoku/>
        <w:wordWrap/>
        <w:overflowPunct/>
        <w:topLinePunct w:val="0"/>
        <w:autoSpaceDE/>
        <w:autoSpaceDN/>
        <w:bidi w:val="0"/>
        <w:adjustRightInd/>
        <w:snapToGrid/>
        <w:spacing w:before="0" w:after="0" w:line="400" w:lineRule="exact"/>
        <w:textAlignment w:val="auto"/>
        <w:rPr>
          <w:rFonts w:hint="eastAsia" w:ascii="宋体" w:hAnsi="宋体" w:eastAsia="宋体" w:cs="宋体"/>
          <w:sz w:val="24"/>
          <w:szCs w:val="24"/>
        </w:rPr>
      </w:pPr>
      <w:r>
        <w:rPr>
          <w:rFonts w:hint="eastAsia" w:ascii="宋体" w:hAnsi="宋体" w:eastAsia="宋体" w:cs="宋体"/>
          <w:sz w:val="24"/>
          <w:szCs w:val="24"/>
        </w:rPr>
        <w:t>五、公告及报名时间</w:t>
      </w:r>
    </w:p>
    <w:p w14:paraId="488C1F09">
      <w:pPr>
        <w:pStyle w:val="6"/>
        <w:kinsoku/>
        <w:wordWrap/>
        <w:overflowPunct/>
        <w:topLinePunct w:val="0"/>
        <w:autoSpaceDE/>
        <w:autoSpaceDN/>
        <w:bidi w:val="0"/>
        <w:adjustRightInd/>
        <w:snapToGrid/>
        <w:spacing w:after="0" w:line="400" w:lineRule="exact"/>
        <w:textAlignment w:val="auto"/>
        <w:rPr>
          <w:rFonts w:hint="eastAsia" w:ascii="宋体" w:hAnsi="宋体" w:eastAsia="宋体" w:cs="宋体"/>
          <w:sz w:val="24"/>
          <w:szCs w:val="24"/>
        </w:rPr>
      </w:pPr>
      <w:r>
        <w:rPr>
          <w:rFonts w:hint="eastAsia" w:ascii="宋体" w:hAnsi="宋体" w:eastAsia="宋体" w:cs="宋体"/>
          <w:sz w:val="24"/>
          <w:szCs w:val="24"/>
        </w:rPr>
        <w:t>1、报名方式：通过登录济钢集团有限公司阳光购销平台网上报名，平台网址：http://bidding.jigang.com.cn/；</w:t>
      </w:r>
    </w:p>
    <w:p w14:paraId="684A285B">
      <w:pPr>
        <w:pStyle w:val="6"/>
        <w:kinsoku/>
        <w:wordWrap/>
        <w:overflowPunct/>
        <w:topLinePunct w:val="0"/>
        <w:autoSpaceDE/>
        <w:autoSpaceDN/>
        <w:bidi w:val="0"/>
        <w:adjustRightInd/>
        <w:snapToGrid/>
        <w:spacing w:after="0" w:line="400" w:lineRule="exact"/>
        <w:textAlignment w:val="auto"/>
        <w:rPr>
          <w:rFonts w:hint="eastAsia" w:ascii="宋体" w:hAnsi="宋体" w:eastAsia="宋体" w:cs="宋体"/>
          <w:sz w:val="24"/>
          <w:szCs w:val="24"/>
        </w:rPr>
      </w:pPr>
      <w:r>
        <w:rPr>
          <w:rFonts w:hint="eastAsia" w:ascii="宋体" w:hAnsi="宋体" w:eastAsia="宋体" w:cs="宋体"/>
          <w:sz w:val="24"/>
          <w:szCs w:val="24"/>
        </w:rPr>
        <w:t>2、公告和报名时间：</w:t>
      </w:r>
      <w:r>
        <w:rPr>
          <w:rFonts w:hint="eastAsia" w:ascii="宋体" w:hAnsi="宋体" w:eastAsia="宋体" w:cs="宋体"/>
          <w:b/>
          <w:bCs/>
          <w:sz w:val="24"/>
          <w:szCs w:val="24"/>
          <w:lang w:val="en-US" w:eastAsia="zh-CN"/>
        </w:rPr>
        <w:t>2026年10月27日—</w:t>
      </w:r>
      <w:r>
        <w:rPr>
          <w:rFonts w:hint="eastAsia" w:ascii="宋体" w:hAnsi="宋体" w:eastAsia="宋体" w:cs="宋体"/>
          <w:b/>
          <w:bCs/>
        </w:rPr>
        <w:t>2026年</w:t>
      </w:r>
      <w:r>
        <w:rPr>
          <w:rFonts w:hint="eastAsia" w:ascii="宋体" w:hAnsi="宋体" w:eastAsia="宋体" w:cs="宋体"/>
          <w:b/>
          <w:bCs/>
          <w:lang w:val="en-US" w:eastAsia="zh-CN"/>
        </w:rPr>
        <w:t>11</w:t>
      </w:r>
      <w:r>
        <w:rPr>
          <w:rFonts w:hint="eastAsia" w:ascii="宋体" w:hAnsi="宋体" w:eastAsia="宋体" w:cs="宋体"/>
          <w:b/>
          <w:bCs/>
        </w:rPr>
        <w:t>月</w:t>
      </w:r>
      <w:r>
        <w:rPr>
          <w:rFonts w:hint="eastAsia" w:ascii="宋体" w:hAnsi="宋体" w:eastAsia="宋体" w:cs="宋体"/>
          <w:b/>
          <w:bCs/>
          <w:lang w:val="en-US" w:eastAsia="zh-CN"/>
        </w:rPr>
        <w:t>3</w:t>
      </w:r>
      <w:r>
        <w:rPr>
          <w:rFonts w:hint="eastAsia" w:ascii="宋体" w:hAnsi="宋体" w:eastAsia="宋体" w:cs="宋体"/>
          <w:b/>
          <w:bCs/>
        </w:rPr>
        <w:t>日</w:t>
      </w:r>
      <w:r>
        <w:rPr>
          <w:rFonts w:hint="eastAsia" w:ascii="宋体" w:hAnsi="宋体" w:eastAsia="宋体" w:cs="宋体"/>
          <w:sz w:val="24"/>
          <w:szCs w:val="24"/>
        </w:rPr>
        <w:t>。</w:t>
      </w:r>
    </w:p>
    <w:p w14:paraId="4E5F4BAD">
      <w:pPr>
        <w:pStyle w:val="6"/>
        <w:kinsoku/>
        <w:wordWrap/>
        <w:overflowPunct/>
        <w:topLinePunct w:val="0"/>
        <w:autoSpaceDE/>
        <w:autoSpaceDN/>
        <w:bidi w:val="0"/>
        <w:adjustRightInd/>
        <w:snapToGrid/>
        <w:spacing w:after="0" w:line="400" w:lineRule="exact"/>
        <w:textAlignment w:val="auto"/>
        <w:rPr>
          <w:rFonts w:hint="eastAsia" w:ascii="宋体" w:hAnsi="宋体" w:eastAsia="宋体" w:cs="宋体"/>
          <w:sz w:val="24"/>
          <w:szCs w:val="24"/>
        </w:rPr>
      </w:pPr>
      <w:r>
        <w:rPr>
          <w:rFonts w:hint="eastAsia" w:ascii="宋体" w:hAnsi="宋体" w:eastAsia="宋体" w:cs="宋体"/>
          <w:sz w:val="24"/>
          <w:szCs w:val="24"/>
        </w:rPr>
        <w:t>3、本次招标一次报价，不允许二次报价；报价唯一。</w:t>
      </w:r>
    </w:p>
    <w:p w14:paraId="7BCA4214">
      <w:pPr>
        <w:pStyle w:val="3"/>
        <w:kinsoku/>
        <w:wordWrap/>
        <w:overflowPunct/>
        <w:topLinePunct w:val="0"/>
        <w:autoSpaceDE/>
        <w:autoSpaceDN/>
        <w:bidi w:val="0"/>
        <w:adjustRightInd/>
        <w:snapToGrid/>
        <w:spacing w:before="0" w:after="0" w:line="400" w:lineRule="exact"/>
        <w:textAlignment w:val="auto"/>
        <w:rPr>
          <w:rFonts w:hint="eastAsia" w:ascii="宋体" w:hAnsi="宋体" w:eastAsia="宋体" w:cs="宋体"/>
          <w:sz w:val="24"/>
          <w:szCs w:val="24"/>
        </w:rPr>
      </w:pPr>
      <w:r>
        <w:rPr>
          <w:rFonts w:hint="eastAsia" w:ascii="宋体" w:hAnsi="宋体" w:eastAsia="宋体" w:cs="宋体"/>
          <w:sz w:val="24"/>
          <w:szCs w:val="24"/>
        </w:rPr>
        <w:t>六、招标文件</w:t>
      </w:r>
    </w:p>
    <w:p w14:paraId="2B2F5C77">
      <w:pPr>
        <w:pStyle w:val="6"/>
        <w:kinsoku/>
        <w:wordWrap/>
        <w:overflowPunct/>
        <w:topLinePunct w:val="0"/>
        <w:autoSpaceDE/>
        <w:autoSpaceDN/>
        <w:bidi w:val="0"/>
        <w:adjustRightInd/>
        <w:snapToGrid/>
        <w:spacing w:after="0" w:line="400" w:lineRule="exact"/>
        <w:textAlignment w:val="auto"/>
        <w:rPr>
          <w:rFonts w:hint="eastAsia" w:ascii="宋体" w:hAnsi="宋体" w:eastAsia="宋体" w:cs="宋体"/>
          <w:sz w:val="24"/>
          <w:szCs w:val="24"/>
        </w:rPr>
      </w:pPr>
      <w:r>
        <w:rPr>
          <w:rFonts w:hint="eastAsia" w:ascii="宋体" w:hAnsi="宋体" w:eastAsia="宋体" w:cs="宋体"/>
          <w:sz w:val="24"/>
          <w:szCs w:val="24"/>
        </w:rPr>
        <w:t>1、获取方式：凡有意参加的潜在投标人，在公告期内登</w:t>
      </w:r>
      <w:r>
        <w:rPr>
          <w:rFonts w:hint="eastAsia" w:ascii="宋体" w:hAnsi="宋体" w:cs="宋体"/>
          <w:sz w:val="24"/>
          <w:szCs w:val="24"/>
          <w:lang w:val="en-US" w:eastAsia="zh-CN"/>
        </w:rPr>
        <w:t>录</w:t>
      </w:r>
      <w:r>
        <w:rPr>
          <w:rFonts w:hint="eastAsia" w:ascii="宋体" w:hAnsi="宋体" w:eastAsia="宋体" w:cs="宋体"/>
          <w:sz w:val="24"/>
          <w:szCs w:val="24"/>
        </w:rPr>
        <w:t>：济钢集团有限公司阳光购销平台http://bidding.jigang.com.cn/，注册用户成功后，须修改初始密码，重新登录后报名，报名通过后方可下载招标文件；</w:t>
      </w:r>
    </w:p>
    <w:p w14:paraId="126BE568">
      <w:pPr>
        <w:pStyle w:val="6"/>
        <w:kinsoku/>
        <w:wordWrap/>
        <w:overflowPunct/>
        <w:topLinePunct w:val="0"/>
        <w:autoSpaceDE/>
        <w:autoSpaceDN/>
        <w:bidi w:val="0"/>
        <w:adjustRightInd/>
        <w:snapToGrid/>
        <w:spacing w:after="0" w:line="400" w:lineRule="exact"/>
        <w:textAlignment w:val="auto"/>
        <w:rPr>
          <w:rFonts w:hint="eastAsia" w:ascii="宋体" w:hAnsi="宋体" w:eastAsia="宋体" w:cs="宋体"/>
          <w:sz w:val="24"/>
          <w:szCs w:val="24"/>
        </w:rPr>
      </w:pPr>
      <w:r>
        <w:rPr>
          <w:rFonts w:hint="eastAsia" w:ascii="宋体" w:hAnsi="宋体" w:eastAsia="宋体" w:cs="宋体"/>
          <w:sz w:val="24"/>
          <w:szCs w:val="24"/>
        </w:rPr>
        <w:t>2、售价：100元。仅通过</w:t>
      </w:r>
      <w:r>
        <w:rPr>
          <w:rFonts w:hint="eastAsia" w:ascii="宋体" w:hAnsi="宋体" w:eastAsia="宋体" w:cs="宋体"/>
          <w:b/>
          <w:bCs/>
          <w:sz w:val="24"/>
          <w:szCs w:val="24"/>
        </w:rPr>
        <w:t>公对公账户转账</w:t>
      </w:r>
      <w:r>
        <w:rPr>
          <w:rFonts w:hint="eastAsia" w:ascii="宋体" w:hAnsi="宋体" w:eastAsia="宋体" w:cs="宋体"/>
          <w:sz w:val="24"/>
          <w:szCs w:val="24"/>
        </w:rPr>
        <w:t>进行网上购买</w:t>
      </w:r>
      <w:r>
        <w:rPr>
          <w:rFonts w:hint="eastAsia" w:ascii="宋体" w:hAnsi="宋体" w:eastAsia="宋体" w:cs="宋体"/>
          <w:b/>
          <w:bCs/>
          <w:color w:val="FF0000"/>
          <w:sz w:val="24"/>
          <w:szCs w:val="24"/>
        </w:rPr>
        <w:t>（个人名义转账无效）</w:t>
      </w:r>
      <w:r>
        <w:rPr>
          <w:rFonts w:hint="eastAsia" w:ascii="宋体" w:hAnsi="宋体" w:eastAsia="宋体" w:cs="宋体"/>
          <w:sz w:val="24"/>
          <w:szCs w:val="24"/>
        </w:rPr>
        <w:t>，投标人</w:t>
      </w:r>
      <w:r>
        <w:rPr>
          <w:rFonts w:hint="eastAsia" w:ascii="宋体" w:hAnsi="宋体" w:eastAsia="宋体" w:cs="宋体"/>
          <w:b/>
          <w:bCs/>
          <w:sz w:val="24"/>
          <w:szCs w:val="24"/>
        </w:rPr>
        <w:t>汇款凭证及开票信息</w:t>
      </w:r>
      <w:r>
        <w:rPr>
          <w:rFonts w:hint="eastAsia" w:ascii="宋体" w:hAnsi="宋体" w:eastAsia="宋体" w:cs="宋体"/>
          <w:sz w:val="24"/>
          <w:szCs w:val="24"/>
        </w:rPr>
        <w:t>（公司名称、税号、地址、开户行及账号、电话等）通过电子邮件方式发送专用邮箱（jgznkj11999@163.com）售后不退。汇款凭证发送后，招标人验证通过，方可下载招标文件。</w:t>
      </w:r>
    </w:p>
    <w:p w14:paraId="67C292BE">
      <w:pPr>
        <w:pStyle w:val="6"/>
        <w:kinsoku/>
        <w:wordWrap/>
        <w:overflowPunct/>
        <w:topLinePunct w:val="0"/>
        <w:autoSpaceDE/>
        <w:autoSpaceDN/>
        <w:bidi w:val="0"/>
        <w:adjustRightInd/>
        <w:snapToGrid/>
        <w:spacing w:after="0" w:line="400" w:lineRule="exact"/>
        <w:textAlignment w:val="auto"/>
        <w:rPr>
          <w:rFonts w:hint="eastAsia" w:ascii="宋体" w:hAnsi="宋体" w:eastAsia="宋体" w:cs="宋体"/>
          <w:sz w:val="24"/>
          <w:szCs w:val="24"/>
        </w:rPr>
      </w:pPr>
      <w:r>
        <w:rPr>
          <w:rFonts w:hint="eastAsia" w:ascii="宋体" w:hAnsi="宋体" w:eastAsia="宋体" w:cs="宋体"/>
          <w:sz w:val="24"/>
          <w:szCs w:val="24"/>
        </w:rPr>
        <w:t>注意：领取招标文件时的资料查验不代表资格审查的最终通过或合格，投标人最终资格的确认以评标委员会的资格后审为准。</w:t>
      </w:r>
    </w:p>
    <w:p w14:paraId="64E0A45D">
      <w:pPr>
        <w:pStyle w:val="6"/>
        <w:kinsoku/>
        <w:wordWrap/>
        <w:overflowPunct/>
        <w:topLinePunct w:val="0"/>
        <w:autoSpaceDE/>
        <w:autoSpaceDN/>
        <w:bidi w:val="0"/>
        <w:adjustRightInd/>
        <w:snapToGrid/>
        <w:spacing w:after="0" w:line="400" w:lineRule="exact"/>
        <w:textAlignment w:val="auto"/>
        <w:rPr>
          <w:rFonts w:hint="eastAsia" w:ascii="宋体" w:hAnsi="宋体" w:eastAsia="宋体" w:cs="宋体"/>
          <w:sz w:val="24"/>
          <w:szCs w:val="24"/>
        </w:rPr>
      </w:pPr>
      <w:r>
        <w:rPr>
          <w:rFonts w:hint="eastAsia" w:ascii="宋体" w:hAnsi="宋体" w:eastAsia="宋体" w:cs="宋体"/>
          <w:sz w:val="24"/>
          <w:szCs w:val="24"/>
        </w:rPr>
        <w:t>3、缴纳标书费账户信息：</w:t>
      </w:r>
    </w:p>
    <w:p w14:paraId="3097F31E">
      <w:pPr>
        <w:pStyle w:val="6"/>
        <w:kinsoku/>
        <w:wordWrap/>
        <w:overflowPunct/>
        <w:topLinePunct w:val="0"/>
        <w:autoSpaceDE/>
        <w:autoSpaceDN/>
        <w:bidi w:val="0"/>
        <w:adjustRightInd/>
        <w:snapToGrid/>
        <w:spacing w:after="0" w:line="400" w:lineRule="exact"/>
        <w:textAlignment w:val="auto"/>
        <w:rPr>
          <w:rFonts w:hint="eastAsia" w:ascii="宋体" w:hAnsi="宋体" w:eastAsia="宋体" w:cs="宋体"/>
          <w:sz w:val="24"/>
          <w:szCs w:val="24"/>
        </w:rPr>
      </w:pPr>
      <w:r>
        <w:rPr>
          <w:rFonts w:hint="eastAsia" w:ascii="宋体" w:hAnsi="宋体" w:eastAsia="宋体" w:cs="宋体"/>
          <w:sz w:val="24"/>
          <w:szCs w:val="24"/>
        </w:rPr>
        <w:t>单位名称：山东济钢航空航天智能电控有限公司</w:t>
      </w:r>
    </w:p>
    <w:p w14:paraId="2B9DEE38">
      <w:pPr>
        <w:pStyle w:val="6"/>
        <w:kinsoku/>
        <w:wordWrap/>
        <w:overflowPunct/>
        <w:topLinePunct w:val="0"/>
        <w:autoSpaceDE/>
        <w:autoSpaceDN/>
        <w:bidi w:val="0"/>
        <w:adjustRightInd/>
        <w:snapToGrid/>
        <w:spacing w:after="0" w:line="400" w:lineRule="exact"/>
        <w:textAlignment w:val="auto"/>
        <w:rPr>
          <w:rFonts w:hint="eastAsia" w:ascii="宋体" w:hAnsi="宋体" w:eastAsia="宋体" w:cs="宋体"/>
          <w:sz w:val="24"/>
          <w:szCs w:val="24"/>
        </w:rPr>
      </w:pPr>
      <w:r>
        <w:rPr>
          <w:rFonts w:hint="eastAsia" w:ascii="宋体" w:hAnsi="宋体" w:eastAsia="宋体" w:cs="宋体"/>
          <w:sz w:val="24"/>
          <w:szCs w:val="24"/>
        </w:rPr>
        <w:t>税号：913700007498655839</w:t>
      </w:r>
    </w:p>
    <w:p w14:paraId="59B33EE5">
      <w:pPr>
        <w:pStyle w:val="6"/>
        <w:kinsoku/>
        <w:wordWrap/>
        <w:overflowPunct/>
        <w:topLinePunct w:val="0"/>
        <w:autoSpaceDE/>
        <w:autoSpaceDN/>
        <w:bidi w:val="0"/>
        <w:adjustRightInd/>
        <w:snapToGrid/>
        <w:spacing w:after="0" w:line="400" w:lineRule="exact"/>
        <w:textAlignment w:val="auto"/>
        <w:rPr>
          <w:rFonts w:hint="eastAsia" w:ascii="宋体" w:hAnsi="宋体" w:eastAsia="宋体" w:cs="宋体"/>
          <w:sz w:val="24"/>
          <w:szCs w:val="24"/>
        </w:rPr>
      </w:pPr>
      <w:r>
        <w:rPr>
          <w:rFonts w:hint="eastAsia" w:ascii="宋体" w:hAnsi="宋体" w:eastAsia="宋体" w:cs="宋体"/>
          <w:sz w:val="24"/>
          <w:szCs w:val="24"/>
        </w:rPr>
        <w:t>地址：山东省济南市历城区董家街道遥墙机场路11999号</w:t>
      </w:r>
    </w:p>
    <w:p w14:paraId="144F424F">
      <w:pPr>
        <w:pStyle w:val="6"/>
        <w:kinsoku/>
        <w:wordWrap/>
        <w:overflowPunct/>
        <w:topLinePunct w:val="0"/>
        <w:autoSpaceDE/>
        <w:autoSpaceDN/>
        <w:bidi w:val="0"/>
        <w:adjustRightInd/>
        <w:snapToGrid/>
        <w:spacing w:after="0" w:line="400" w:lineRule="exact"/>
        <w:textAlignment w:val="auto"/>
        <w:rPr>
          <w:rFonts w:hint="eastAsia" w:ascii="宋体" w:hAnsi="宋体" w:eastAsia="宋体" w:cs="宋体"/>
          <w:sz w:val="24"/>
          <w:szCs w:val="24"/>
        </w:rPr>
      </w:pPr>
      <w:r>
        <w:rPr>
          <w:rFonts w:hint="eastAsia" w:ascii="宋体" w:hAnsi="宋体" w:eastAsia="宋体" w:cs="宋体"/>
          <w:sz w:val="24"/>
          <w:szCs w:val="24"/>
        </w:rPr>
        <w:t>电话：0531-82377752</w:t>
      </w:r>
    </w:p>
    <w:p w14:paraId="4D3A8663">
      <w:pPr>
        <w:pStyle w:val="6"/>
        <w:kinsoku/>
        <w:wordWrap/>
        <w:overflowPunct/>
        <w:topLinePunct w:val="0"/>
        <w:autoSpaceDE/>
        <w:autoSpaceDN/>
        <w:bidi w:val="0"/>
        <w:adjustRightInd/>
        <w:snapToGrid/>
        <w:spacing w:after="0" w:line="400" w:lineRule="exact"/>
        <w:textAlignment w:val="auto"/>
        <w:rPr>
          <w:rFonts w:hint="eastAsia" w:ascii="宋体" w:hAnsi="宋体" w:eastAsia="宋体" w:cs="宋体"/>
          <w:sz w:val="24"/>
          <w:szCs w:val="24"/>
        </w:rPr>
      </w:pPr>
      <w:r>
        <w:rPr>
          <w:rFonts w:hint="eastAsia" w:ascii="宋体" w:hAnsi="宋体" w:eastAsia="宋体" w:cs="宋体"/>
          <w:sz w:val="24"/>
          <w:szCs w:val="24"/>
        </w:rPr>
        <w:t>开户行：齐鲁银行股份有限公司济南济钢支行</w:t>
      </w:r>
    </w:p>
    <w:p w14:paraId="51C71AE0">
      <w:pPr>
        <w:pStyle w:val="6"/>
        <w:kinsoku/>
        <w:wordWrap/>
        <w:overflowPunct/>
        <w:topLinePunct w:val="0"/>
        <w:autoSpaceDE/>
        <w:autoSpaceDN/>
        <w:bidi w:val="0"/>
        <w:adjustRightInd/>
        <w:snapToGrid/>
        <w:spacing w:after="0" w:line="400" w:lineRule="exact"/>
        <w:textAlignment w:val="auto"/>
        <w:rPr>
          <w:rFonts w:hint="eastAsia" w:ascii="宋体" w:hAnsi="宋体" w:eastAsia="宋体" w:cs="宋体"/>
          <w:sz w:val="24"/>
          <w:szCs w:val="24"/>
        </w:rPr>
      </w:pPr>
      <w:r>
        <w:rPr>
          <w:rFonts w:hint="eastAsia" w:ascii="宋体" w:hAnsi="宋体" w:eastAsia="宋体" w:cs="宋体"/>
          <w:sz w:val="24"/>
          <w:szCs w:val="24"/>
        </w:rPr>
        <w:t>帐号：86611760101421001962</w:t>
      </w:r>
    </w:p>
    <w:p w14:paraId="6B4A1356">
      <w:pPr>
        <w:pStyle w:val="6"/>
        <w:kinsoku/>
        <w:wordWrap/>
        <w:overflowPunct/>
        <w:topLinePunct w:val="0"/>
        <w:autoSpaceDE/>
        <w:autoSpaceDN/>
        <w:bidi w:val="0"/>
        <w:adjustRightInd/>
        <w:snapToGrid/>
        <w:spacing w:after="0" w:line="400" w:lineRule="exact"/>
        <w:textAlignment w:val="auto"/>
        <w:rPr>
          <w:rFonts w:hint="eastAsia" w:ascii="宋体" w:hAnsi="宋体" w:eastAsia="宋体" w:cs="宋体"/>
          <w:sz w:val="24"/>
          <w:szCs w:val="24"/>
        </w:rPr>
      </w:pPr>
      <w:r>
        <w:rPr>
          <w:rFonts w:hint="eastAsia" w:ascii="宋体" w:hAnsi="宋体" w:eastAsia="宋体" w:cs="宋体"/>
          <w:sz w:val="24"/>
          <w:szCs w:val="24"/>
        </w:rPr>
        <w:t>行号：313451007609</w:t>
      </w:r>
    </w:p>
    <w:p w14:paraId="5037726C">
      <w:pPr>
        <w:pStyle w:val="6"/>
        <w:kinsoku/>
        <w:wordWrap/>
        <w:overflowPunct/>
        <w:topLinePunct w:val="0"/>
        <w:autoSpaceDE/>
        <w:autoSpaceDN/>
        <w:bidi w:val="0"/>
        <w:adjustRightInd/>
        <w:snapToGrid/>
        <w:spacing w:after="0" w:line="400" w:lineRule="exact"/>
        <w:ind w:left="0" w:leftChars="0" w:firstLine="0" w:firstLineChars="0"/>
        <w:textAlignment w:val="auto"/>
        <w:rPr>
          <w:rFonts w:hint="eastAsia" w:ascii="宋体" w:hAnsi="宋体" w:eastAsia="宋体" w:cs="宋体"/>
          <w:sz w:val="24"/>
          <w:szCs w:val="24"/>
        </w:rPr>
      </w:pPr>
      <w:r>
        <w:rPr>
          <w:rFonts w:hint="eastAsia" w:ascii="宋体" w:hAnsi="宋体" w:eastAsia="宋体" w:cs="宋体"/>
          <w:b/>
          <w:bCs/>
          <w:sz w:val="24"/>
          <w:szCs w:val="24"/>
        </w:rPr>
        <w:t>七、投标保证金</w:t>
      </w:r>
      <w:r>
        <w:rPr>
          <w:rFonts w:hint="eastAsia" w:ascii="宋体" w:hAnsi="宋体" w:eastAsia="宋体" w:cs="宋体"/>
          <w:b/>
          <w:bCs/>
          <w:sz w:val="24"/>
          <w:szCs w:val="24"/>
          <w:lang w:eastAsia="zh-CN"/>
        </w:rPr>
        <w:t>：</w:t>
      </w:r>
      <w:r>
        <w:rPr>
          <w:rFonts w:hint="eastAsia" w:ascii="宋体" w:hAnsi="宋体" w:eastAsia="宋体" w:cs="宋体"/>
          <w:sz w:val="24"/>
          <w:szCs w:val="24"/>
        </w:rPr>
        <w:t>无。</w:t>
      </w:r>
    </w:p>
    <w:p w14:paraId="7CC49459">
      <w:pPr>
        <w:pStyle w:val="3"/>
        <w:keepNext/>
        <w:keepLines/>
        <w:widowControl w:val="0"/>
        <w:kinsoku/>
        <w:wordWrap/>
        <w:overflowPunct/>
        <w:topLinePunct w:val="0"/>
        <w:autoSpaceDE/>
        <w:autoSpaceDN/>
        <w:bidi w:val="0"/>
        <w:adjustRightInd/>
        <w:snapToGrid/>
        <w:spacing w:before="0" w:after="0" w:line="400" w:lineRule="exact"/>
        <w:ind w:firstLine="0" w:firstLineChars="0"/>
        <w:jc w:val="both"/>
        <w:textAlignment w:val="auto"/>
        <w:rPr>
          <w:rFonts w:hint="eastAsia" w:ascii="宋体" w:hAnsi="宋体" w:eastAsia="宋体" w:cs="宋体"/>
          <w:sz w:val="24"/>
          <w:szCs w:val="24"/>
        </w:rPr>
      </w:pPr>
      <w:r>
        <w:rPr>
          <w:rFonts w:hint="eastAsia" w:ascii="宋体" w:hAnsi="宋体" w:eastAsia="宋体" w:cs="宋体"/>
          <w:sz w:val="24"/>
          <w:szCs w:val="24"/>
        </w:rPr>
        <w:t>八、投标文件的</w:t>
      </w:r>
      <w:r>
        <w:rPr>
          <w:rFonts w:hint="eastAsia" w:ascii="宋体" w:hAnsi="宋体" w:eastAsia="宋体" w:cs="宋体"/>
          <w:kern w:val="2"/>
          <w:szCs w:val="32"/>
          <w14:ligatures w14:val="standardContextual"/>
        </w:rPr>
        <w:t>递交</w:t>
      </w:r>
    </w:p>
    <w:p w14:paraId="2A13F4DB">
      <w:pPr>
        <w:pStyle w:val="6"/>
        <w:kinsoku/>
        <w:wordWrap/>
        <w:overflowPunct/>
        <w:topLinePunct w:val="0"/>
        <w:autoSpaceDE/>
        <w:autoSpaceDN/>
        <w:bidi w:val="0"/>
        <w:adjustRightInd/>
        <w:snapToGrid/>
        <w:spacing w:after="0" w:line="400" w:lineRule="exact"/>
        <w:textAlignment w:val="auto"/>
        <w:rPr>
          <w:rFonts w:hint="eastAsia" w:ascii="宋体" w:hAnsi="宋体" w:eastAsia="宋体" w:cs="宋体"/>
          <w:sz w:val="24"/>
          <w:szCs w:val="24"/>
        </w:rPr>
      </w:pPr>
      <w:r>
        <w:rPr>
          <w:rFonts w:hint="eastAsia" w:ascii="宋体" w:hAnsi="宋体" w:eastAsia="宋体" w:cs="宋体"/>
          <w:sz w:val="24"/>
          <w:szCs w:val="24"/>
        </w:rPr>
        <w:t>1、投标文件递交的截止时间及开标时间</w:t>
      </w:r>
      <w:r>
        <w:rPr>
          <w:rFonts w:hint="eastAsia" w:ascii="宋体" w:hAnsi="宋体" w:eastAsia="宋体" w:cs="宋体"/>
          <w:sz w:val="24"/>
          <w:szCs w:val="24"/>
          <w:lang w:eastAsia="zh-CN"/>
        </w:rPr>
        <w:t>：</w:t>
      </w:r>
      <w:r>
        <w:rPr>
          <w:rFonts w:hint="eastAsia" w:ascii="宋体" w:hAnsi="宋体" w:eastAsia="宋体" w:cs="宋体"/>
          <w:b/>
          <w:bCs/>
          <w:sz w:val="24"/>
          <w:szCs w:val="24"/>
          <w:lang w:val="en-US" w:eastAsia="zh-CN"/>
        </w:rPr>
        <w:t>2026年11月10日下午14:30前（</w:t>
      </w:r>
      <w:r>
        <w:rPr>
          <w:rFonts w:hint="eastAsia" w:ascii="宋体" w:hAnsi="宋体" w:eastAsia="宋体" w:cs="宋体"/>
          <w:b/>
          <w:bCs/>
        </w:rPr>
        <w:t>开标时间，下同</w:t>
      </w:r>
      <w:r>
        <w:rPr>
          <w:rFonts w:hint="eastAsia" w:ascii="宋体" w:hAnsi="宋体" w:eastAsia="宋体" w:cs="宋体"/>
          <w:b/>
          <w:bCs/>
          <w:sz w:val="24"/>
          <w:szCs w:val="24"/>
          <w:lang w:val="en-US" w:eastAsia="zh-CN"/>
        </w:rPr>
        <w:t>），</w:t>
      </w:r>
      <w:r>
        <w:rPr>
          <w:rFonts w:hint="eastAsia" w:ascii="宋体" w:hAnsi="宋体" w:eastAsia="宋体" w:cs="宋体"/>
        </w:rPr>
        <w:t>递交（开标）地点为：山东济钢航空航天智能电控有限公司1号办公楼2楼招标室。</w:t>
      </w:r>
      <w:r>
        <w:rPr>
          <w:rFonts w:hint="eastAsia" w:ascii="宋体" w:hAnsi="宋体" w:eastAsia="宋体" w:cs="宋体"/>
          <w:b/>
          <w:bCs/>
        </w:rPr>
        <w:t>现场开标（如有调整另行通知）</w:t>
      </w:r>
      <w:r>
        <w:rPr>
          <w:rFonts w:hint="eastAsia" w:ascii="宋体" w:hAnsi="宋体" w:eastAsia="宋体" w:cs="宋体"/>
          <w:sz w:val="24"/>
          <w:szCs w:val="24"/>
        </w:rPr>
        <w:t>。</w:t>
      </w:r>
    </w:p>
    <w:p w14:paraId="2CC42847">
      <w:pPr>
        <w:pStyle w:val="6"/>
        <w:kinsoku/>
        <w:wordWrap/>
        <w:overflowPunct/>
        <w:topLinePunct w:val="0"/>
        <w:autoSpaceDE/>
        <w:autoSpaceDN/>
        <w:bidi w:val="0"/>
        <w:adjustRightInd/>
        <w:snapToGrid/>
        <w:spacing w:after="0" w:line="400" w:lineRule="exact"/>
        <w:textAlignment w:val="auto"/>
        <w:rPr>
          <w:rFonts w:hint="eastAsia" w:ascii="宋体" w:hAnsi="宋体" w:eastAsia="宋体" w:cs="宋体"/>
          <w:sz w:val="24"/>
          <w:szCs w:val="24"/>
        </w:rPr>
      </w:pPr>
      <w:r>
        <w:rPr>
          <w:rFonts w:hint="eastAsia" w:ascii="宋体" w:hAnsi="宋体" w:eastAsia="宋体" w:cs="宋体"/>
          <w:sz w:val="24"/>
          <w:szCs w:val="24"/>
        </w:rPr>
        <w:t>2、逾期送达的、未送达指定地点的或者不按照招标文件要求密封的投标文件，招标人将予以拒收。</w:t>
      </w:r>
    </w:p>
    <w:p w14:paraId="4D130F81">
      <w:pPr>
        <w:pStyle w:val="3"/>
        <w:kinsoku/>
        <w:wordWrap/>
        <w:overflowPunct/>
        <w:topLinePunct w:val="0"/>
        <w:autoSpaceDE/>
        <w:autoSpaceDN/>
        <w:bidi w:val="0"/>
        <w:adjustRightInd/>
        <w:snapToGrid/>
        <w:spacing w:before="0" w:after="0" w:line="400" w:lineRule="exact"/>
        <w:textAlignment w:val="auto"/>
        <w:rPr>
          <w:rFonts w:hint="eastAsia" w:ascii="宋体" w:hAnsi="宋体" w:eastAsia="宋体" w:cs="宋体"/>
          <w:sz w:val="24"/>
          <w:szCs w:val="24"/>
        </w:rPr>
      </w:pPr>
      <w:r>
        <w:rPr>
          <w:rFonts w:hint="eastAsia" w:ascii="宋体" w:hAnsi="宋体" w:eastAsia="宋体" w:cs="宋体"/>
          <w:sz w:val="24"/>
          <w:szCs w:val="24"/>
        </w:rPr>
        <w:t>九、资格审查方式</w:t>
      </w:r>
    </w:p>
    <w:p w14:paraId="06DC8BFF">
      <w:pPr>
        <w:pStyle w:val="6"/>
        <w:kinsoku/>
        <w:wordWrap/>
        <w:overflowPunct/>
        <w:topLinePunct w:val="0"/>
        <w:autoSpaceDE/>
        <w:autoSpaceDN/>
        <w:bidi w:val="0"/>
        <w:adjustRightInd/>
        <w:snapToGrid/>
        <w:spacing w:after="0" w:line="400" w:lineRule="exact"/>
        <w:textAlignment w:val="auto"/>
        <w:rPr>
          <w:rFonts w:hint="eastAsia" w:ascii="宋体" w:hAnsi="宋体" w:eastAsia="宋体" w:cs="宋体"/>
          <w:sz w:val="24"/>
          <w:szCs w:val="24"/>
        </w:rPr>
      </w:pPr>
      <w:r>
        <w:rPr>
          <w:rFonts w:hint="eastAsia" w:ascii="宋体" w:hAnsi="宋体" w:eastAsia="宋体" w:cs="宋体"/>
          <w:sz w:val="24"/>
          <w:szCs w:val="24"/>
        </w:rPr>
        <w:t>资格后审；开标后，评标委员会对投标单位的资质文件进行评审。评审合格的进入下一阶段评审；评审不合格的按废标处理，标书费不退。</w:t>
      </w:r>
    </w:p>
    <w:p w14:paraId="1F5EA112">
      <w:pPr>
        <w:pStyle w:val="3"/>
        <w:kinsoku/>
        <w:wordWrap/>
        <w:overflowPunct/>
        <w:topLinePunct w:val="0"/>
        <w:autoSpaceDE/>
        <w:autoSpaceDN/>
        <w:bidi w:val="0"/>
        <w:adjustRightInd/>
        <w:snapToGrid/>
        <w:spacing w:before="0" w:after="0" w:line="400" w:lineRule="exact"/>
        <w:textAlignment w:val="auto"/>
        <w:rPr>
          <w:rFonts w:hint="eastAsia" w:ascii="宋体" w:hAnsi="宋体" w:eastAsia="宋体" w:cs="宋体"/>
          <w:sz w:val="24"/>
          <w:szCs w:val="24"/>
        </w:rPr>
      </w:pPr>
      <w:r>
        <w:rPr>
          <w:rFonts w:hint="eastAsia" w:ascii="宋体" w:hAnsi="宋体" w:eastAsia="宋体" w:cs="宋体"/>
          <w:sz w:val="24"/>
          <w:szCs w:val="24"/>
        </w:rPr>
        <w:t>十、联系方式</w:t>
      </w:r>
    </w:p>
    <w:p w14:paraId="11B06416">
      <w:pPr>
        <w:pStyle w:val="6"/>
        <w:kinsoku/>
        <w:wordWrap/>
        <w:overflowPunct/>
        <w:topLinePunct w:val="0"/>
        <w:autoSpaceDE/>
        <w:autoSpaceDN/>
        <w:bidi w:val="0"/>
        <w:adjustRightInd/>
        <w:snapToGrid/>
        <w:spacing w:after="0" w:line="40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招标联系人：</w:t>
      </w:r>
      <w:r>
        <w:rPr>
          <w:rFonts w:hint="eastAsia" w:ascii="宋体" w:hAnsi="宋体" w:eastAsia="宋体" w:cs="宋体"/>
          <w:sz w:val="24"/>
          <w:szCs w:val="24"/>
          <w:lang w:val="en-US" w:eastAsia="zh-CN"/>
        </w:rPr>
        <w:t>姚工</w:t>
      </w:r>
      <w:r>
        <w:rPr>
          <w:rFonts w:hint="eastAsia" w:ascii="宋体" w:hAnsi="宋体" w:eastAsia="宋体" w:cs="宋体"/>
          <w:sz w:val="24"/>
          <w:szCs w:val="24"/>
        </w:rPr>
        <w:t>，联系电话：</w:t>
      </w:r>
      <w:r>
        <w:rPr>
          <w:rFonts w:hint="eastAsia" w:ascii="宋体" w:hAnsi="宋体" w:eastAsia="宋体" w:cs="宋体"/>
          <w:sz w:val="24"/>
          <w:szCs w:val="24"/>
          <w:lang w:val="en-US" w:eastAsia="zh-CN"/>
        </w:rPr>
        <w:t>13156111751，</w:t>
      </w:r>
    </w:p>
    <w:p w14:paraId="4FE7C212">
      <w:pPr>
        <w:pStyle w:val="6"/>
        <w:kinsoku/>
        <w:wordWrap/>
        <w:overflowPunct/>
        <w:topLinePunct w:val="0"/>
        <w:autoSpaceDE/>
        <w:autoSpaceDN/>
        <w:bidi w:val="0"/>
        <w:adjustRightInd/>
        <w:snapToGrid/>
        <w:spacing w:after="0" w:line="40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技术</w:t>
      </w:r>
      <w:r>
        <w:rPr>
          <w:rFonts w:hint="eastAsia" w:ascii="宋体" w:hAnsi="宋体" w:eastAsia="宋体" w:cs="宋体"/>
          <w:sz w:val="24"/>
          <w:szCs w:val="24"/>
        </w:rPr>
        <w:t>联系人：</w:t>
      </w:r>
      <w:r>
        <w:rPr>
          <w:rFonts w:hint="eastAsia" w:ascii="宋体" w:hAnsi="宋体" w:eastAsia="宋体" w:cs="宋体"/>
          <w:sz w:val="24"/>
          <w:szCs w:val="24"/>
          <w:lang w:val="en-US" w:eastAsia="zh-CN"/>
        </w:rPr>
        <w:t>黄工</w:t>
      </w:r>
      <w:r>
        <w:rPr>
          <w:rFonts w:hint="eastAsia" w:ascii="宋体" w:hAnsi="宋体" w:eastAsia="宋体" w:cs="宋体"/>
          <w:sz w:val="24"/>
          <w:szCs w:val="24"/>
        </w:rPr>
        <w:t>，联系电话：</w:t>
      </w:r>
      <w:r>
        <w:rPr>
          <w:rFonts w:hint="eastAsia" w:ascii="宋体" w:hAnsi="宋体" w:eastAsia="宋体" w:cs="宋体"/>
          <w:sz w:val="24"/>
          <w:szCs w:val="24"/>
          <w:lang w:val="en-US" w:eastAsia="zh-CN"/>
        </w:rPr>
        <w:t>15953195129。</w:t>
      </w:r>
    </w:p>
    <w:p w14:paraId="6D2E220E">
      <w:pPr>
        <w:pStyle w:val="3"/>
        <w:kinsoku/>
        <w:wordWrap/>
        <w:overflowPunct/>
        <w:topLinePunct w:val="0"/>
        <w:autoSpaceDE/>
        <w:autoSpaceDN/>
        <w:bidi w:val="0"/>
        <w:adjustRightInd/>
        <w:snapToGrid/>
        <w:spacing w:before="0" w:after="0" w:line="400" w:lineRule="exact"/>
        <w:textAlignment w:val="auto"/>
        <w:rPr>
          <w:rFonts w:hint="eastAsia" w:ascii="宋体" w:hAnsi="宋体" w:eastAsia="宋体" w:cs="宋体"/>
          <w:sz w:val="24"/>
          <w:szCs w:val="24"/>
        </w:rPr>
      </w:pPr>
      <w:r>
        <w:rPr>
          <w:rFonts w:hint="eastAsia" w:ascii="宋体" w:hAnsi="宋体" w:eastAsia="宋体" w:cs="宋体"/>
          <w:sz w:val="24"/>
          <w:szCs w:val="24"/>
        </w:rPr>
        <w:t>十一、解决合同纠纷的</w:t>
      </w:r>
      <w:bookmarkStart w:id="1" w:name="_GoBack"/>
      <w:bookmarkEnd w:id="1"/>
      <w:r>
        <w:rPr>
          <w:rFonts w:hint="eastAsia" w:ascii="宋体" w:hAnsi="宋体" w:eastAsia="宋体" w:cs="宋体"/>
          <w:sz w:val="24"/>
          <w:szCs w:val="24"/>
        </w:rPr>
        <w:t>方式</w:t>
      </w:r>
    </w:p>
    <w:p w14:paraId="3F6F3010">
      <w:pPr>
        <w:pStyle w:val="6"/>
        <w:kinsoku/>
        <w:wordWrap/>
        <w:overflowPunct/>
        <w:topLinePunct w:val="0"/>
        <w:autoSpaceDE/>
        <w:autoSpaceDN/>
        <w:bidi w:val="0"/>
        <w:adjustRightInd/>
        <w:snapToGrid/>
        <w:spacing w:after="0" w:line="400" w:lineRule="exact"/>
        <w:textAlignment w:val="auto"/>
        <w:rPr>
          <w:rFonts w:hint="eastAsia" w:ascii="宋体" w:hAnsi="宋体" w:eastAsia="宋体" w:cs="宋体"/>
          <w:sz w:val="24"/>
          <w:szCs w:val="24"/>
        </w:rPr>
      </w:pPr>
      <w:r>
        <w:rPr>
          <w:rFonts w:hint="eastAsia" w:ascii="宋体" w:hAnsi="宋体" w:eastAsia="宋体" w:cs="宋体"/>
          <w:sz w:val="24"/>
          <w:szCs w:val="24"/>
        </w:rPr>
        <w:t>双方友好协商解决，协商不成提交甲方所在地人民法院诉讼解决。</w:t>
      </w:r>
    </w:p>
    <w:p w14:paraId="3879E4C1">
      <w:pPr>
        <w:pStyle w:val="3"/>
        <w:kinsoku/>
        <w:wordWrap/>
        <w:overflowPunct/>
        <w:topLinePunct w:val="0"/>
        <w:autoSpaceDE/>
        <w:autoSpaceDN/>
        <w:bidi w:val="0"/>
        <w:adjustRightInd/>
        <w:snapToGrid/>
        <w:spacing w:before="0" w:after="0" w:line="400" w:lineRule="exact"/>
        <w:textAlignment w:val="auto"/>
        <w:rPr>
          <w:rFonts w:hint="eastAsia" w:ascii="宋体" w:hAnsi="宋体" w:eastAsia="宋体" w:cs="宋体"/>
          <w:sz w:val="24"/>
          <w:szCs w:val="24"/>
        </w:rPr>
      </w:pPr>
      <w:r>
        <w:rPr>
          <w:rFonts w:hint="eastAsia" w:ascii="宋体" w:hAnsi="宋体" w:eastAsia="宋体" w:cs="宋体"/>
          <w:sz w:val="24"/>
          <w:szCs w:val="24"/>
        </w:rPr>
        <w:t>十二、招标内容和其他要求以最终的招标文件为准。</w:t>
      </w:r>
    </w:p>
    <w:p w14:paraId="59FB82D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057174"/>
    <w:rsid w:val="06C871AC"/>
    <w:rsid w:val="13A9462C"/>
    <w:rsid w:val="19D65769"/>
    <w:rsid w:val="20A52531"/>
    <w:rsid w:val="2A9036E6"/>
    <w:rsid w:val="5536773F"/>
    <w:rsid w:val="62F7121C"/>
    <w:rsid w:val="65E120E1"/>
    <w:rsid w:val="6ACC35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color w:val="000000"/>
      <w:sz w:val="24"/>
      <w:szCs w:val="24"/>
      <w:lang w:val="en-US" w:eastAsia="zh-CN" w:bidi="ar-SA"/>
    </w:rPr>
  </w:style>
  <w:style w:type="paragraph" w:styleId="2">
    <w:name w:val="heading 1"/>
    <w:basedOn w:val="1"/>
    <w:next w:val="1"/>
    <w:qFormat/>
    <w:uiPriority w:val="9"/>
    <w:pPr>
      <w:pageBreakBefore/>
      <w:spacing w:before="360" w:after="200"/>
      <w:jc w:val="center"/>
      <w:outlineLvl w:val="0"/>
    </w:pPr>
    <w:rPr>
      <w:b/>
      <w:bCs/>
      <w:sz w:val="28"/>
      <w:szCs w:val="28"/>
    </w:rPr>
  </w:style>
  <w:style w:type="paragraph" w:styleId="3">
    <w:name w:val="heading 2"/>
    <w:basedOn w:val="1"/>
    <w:next w:val="1"/>
    <w:unhideWhenUsed/>
    <w:qFormat/>
    <w:uiPriority w:val="9"/>
    <w:pPr>
      <w:spacing w:before="280" w:after="160"/>
      <w:outlineLvl w:val="1"/>
    </w:pPr>
    <w:rPr>
      <w:b/>
      <w:bCs/>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customStyle="1" w:styleId="6">
    <w:name w:val="Body"/>
    <w:basedOn w:val="1"/>
    <w:qFormat/>
    <w:uiPriority w:val="0"/>
    <w:pPr>
      <w:spacing w:after="120" w:line="400" w:lineRule="exact"/>
      <w:ind w:firstLine="480"/>
      <w:jc w:val="both"/>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2532</Words>
  <Characters>2754</Characters>
  <Lines>0</Lines>
  <Paragraphs>0</Paragraphs>
  <TotalTime>7</TotalTime>
  <ScaleCrop>false</ScaleCrop>
  <LinksUpToDate>false</LinksUpToDate>
  <CharactersWithSpaces>2756</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2026-10-27T05:55:00Z</dcterms:created>
  <dc:creator>yaosh</dc:creator>
  <cp:lastModifiedBy>YAOYAO</cp:lastModifiedBy>
  <dcterms:modified xsi:type="dcterms:W3CDTF">2026-10-27T06:43:02Z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KSOTemplateDocerSaveRecord">
    <vt:lpwstr>eyJoZGlkIjoiYmI3OTY1ODVhZjIwYzA5MTJkYjlkMDUwNzkxNDk0NWYiLCJ1c2VySWQiOiIyMTgwMzQ3MSJ9</vt:lpwstr>
  </property>
  <property fmtid="{D5CDD505-2E9C-101B-9397-08002B2CF9AE}" pid="4" name="ICV">
    <vt:lpwstr>8784555DD6364A619ED2C6E986491EEA_12</vt:lpwstr>
  </property>
</Properties>
</file>